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4C" w:rsidRDefault="000D2B56" w:rsidP="000201DC">
      <w:pPr>
        <w:spacing w:line="360" w:lineRule="auto"/>
        <w:jc w:val="center"/>
        <w:rPr>
          <w:b/>
          <w:sz w:val="28"/>
          <w:szCs w:val="28"/>
        </w:rPr>
      </w:pPr>
      <w:r>
        <w:rPr>
          <w:b/>
          <w:sz w:val="28"/>
          <w:szCs w:val="28"/>
        </w:rPr>
        <w:t>201</w:t>
      </w:r>
      <w:r w:rsidR="005F476C">
        <w:rPr>
          <w:b/>
          <w:sz w:val="28"/>
          <w:szCs w:val="28"/>
        </w:rPr>
        <w:t>6</w:t>
      </w:r>
      <w:r w:rsidR="00C53042" w:rsidRPr="00C53042">
        <w:rPr>
          <w:b/>
          <w:sz w:val="28"/>
          <w:szCs w:val="28"/>
        </w:rPr>
        <w:t xml:space="preserve"> A</w:t>
      </w:r>
      <w:r w:rsidR="0031371A">
        <w:rPr>
          <w:b/>
          <w:sz w:val="28"/>
          <w:szCs w:val="28"/>
        </w:rPr>
        <w:t xml:space="preserve">nnual </w:t>
      </w:r>
      <w:r w:rsidR="00C53042" w:rsidRPr="00C53042">
        <w:rPr>
          <w:b/>
          <w:sz w:val="28"/>
          <w:szCs w:val="28"/>
        </w:rPr>
        <w:t>F</w:t>
      </w:r>
      <w:r w:rsidR="0031371A">
        <w:rPr>
          <w:b/>
          <w:sz w:val="28"/>
          <w:szCs w:val="28"/>
        </w:rPr>
        <w:t xml:space="preserve">inancial </w:t>
      </w:r>
      <w:r w:rsidR="00C53042" w:rsidRPr="00C53042">
        <w:rPr>
          <w:b/>
          <w:sz w:val="28"/>
          <w:szCs w:val="28"/>
        </w:rPr>
        <w:t>R</w:t>
      </w:r>
      <w:r w:rsidR="0031371A">
        <w:rPr>
          <w:b/>
          <w:sz w:val="28"/>
          <w:szCs w:val="28"/>
        </w:rPr>
        <w:t>eport (AFR)</w:t>
      </w:r>
      <w:r w:rsidR="00C53042" w:rsidRPr="00C53042">
        <w:rPr>
          <w:b/>
          <w:sz w:val="28"/>
          <w:szCs w:val="28"/>
        </w:rPr>
        <w:t xml:space="preserve"> Discussion Notes</w:t>
      </w:r>
    </w:p>
    <w:p w:rsidR="00576FE5" w:rsidRDefault="00576FE5" w:rsidP="000201DC">
      <w:pPr>
        <w:spacing w:line="360" w:lineRule="auto"/>
        <w:jc w:val="center"/>
        <w:rPr>
          <w:b/>
          <w:sz w:val="28"/>
          <w:szCs w:val="28"/>
        </w:rPr>
      </w:pPr>
      <w:r>
        <w:rPr>
          <w:b/>
          <w:sz w:val="28"/>
          <w:szCs w:val="28"/>
        </w:rPr>
        <w:t>Tarleton State University</w:t>
      </w:r>
    </w:p>
    <w:p w:rsidR="009A2520" w:rsidRDefault="009A2520" w:rsidP="00106F2C">
      <w:pPr>
        <w:spacing w:line="360" w:lineRule="auto"/>
        <w:rPr>
          <w:b/>
          <w:sz w:val="28"/>
          <w:szCs w:val="28"/>
        </w:rPr>
      </w:pPr>
    </w:p>
    <w:p w:rsidR="00A3494D" w:rsidRPr="00397016" w:rsidRDefault="007F3C31" w:rsidP="00BF1C96">
      <w:pPr>
        <w:spacing w:line="360" w:lineRule="auto"/>
        <w:rPr>
          <w:sz w:val="28"/>
          <w:szCs w:val="28"/>
        </w:rPr>
      </w:pPr>
      <w:r w:rsidRPr="00397016">
        <w:rPr>
          <w:szCs w:val="20"/>
        </w:rPr>
        <w:t xml:space="preserve">In accordance with section 51.005 of the Texas Education Code, and by direction of the Board of Regents, The Texas A&amp;M University System </w:t>
      </w:r>
      <w:r w:rsidR="007E766F" w:rsidRPr="00397016">
        <w:rPr>
          <w:szCs w:val="20"/>
        </w:rPr>
        <w:t xml:space="preserve">(TAMUS) </w:t>
      </w:r>
      <w:r w:rsidRPr="00397016">
        <w:rPr>
          <w:szCs w:val="20"/>
        </w:rPr>
        <w:t>is required to publish an annual financial report (AFR) in compliance with guidance provided by the State Comptroller’s Office.  The</w:t>
      </w:r>
      <w:r w:rsidR="007E766F" w:rsidRPr="00397016">
        <w:rPr>
          <w:szCs w:val="20"/>
        </w:rPr>
        <w:t xml:space="preserve"> </w:t>
      </w:r>
      <w:r w:rsidR="000D5652" w:rsidRPr="00397016">
        <w:rPr>
          <w:szCs w:val="20"/>
        </w:rPr>
        <w:t xml:space="preserve">AFR is made up of </w:t>
      </w:r>
      <w:r w:rsidR="007E766F" w:rsidRPr="00397016">
        <w:rPr>
          <w:szCs w:val="20"/>
        </w:rPr>
        <w:t>sixteen schedules,</w:t>
      </w:r>
      <w:r w:rsidRPr="00397016">
        <w:rPr>
          <w:szCs w:val="20"/>
        </w:rPr>
        <w:t xml:space="preserve"> four </w:t>
      </w:r>
      <w:r w:rsidR="007E766F" w:rsidRPr="00397016">
        <w:rPr>
          <w:szCs w:val="20"/>
        </w:rPr>
        <w:t>of which</w:t>
      </w:r>
      <w:r w:rsidRPr="00397016">
        <w:rPr>
          <w:szCs w:val="20"/>
        </w:rPr>
        <w:t xml:space="preserve"> are published </w:t>
      </w:r>
      <w:r w:rsidR="007E766F" w:rsidRPr="00397016">
        <w:rPr>
          <w:szCs w:val="20"/>
        </w:rPr>
        <w:t xml:space="preserve">by the TAMUS Office of Budgets and Accounting </w:t>
      </w:r>
      <w:r w:rsidRPr="00397016">
        <w:rPr>
          <w:szCs w:val="20"/>
        </w:rPr>
        <w:t>each fall</w:t>
      </w:r>
      <w:r w:rsidR="007E766F" w:rsidRPr="00397016">
        <w:rPr>
          <w:szCs w:val="20"/>
        </w:rPr>
        <w:t>:</w:t>
      </w:r>
      <w:r w:rsidR="000D5652" w:rsidRPr="00397016">
        <w:rPr>
          <w:szCs w:val="20"/>
        </w:rPr>
        <w:t xml:space="preserve"> </w:t>
      </w:r>
      <w:r w:rsidRPr="00397016">
        <w:rPr>
          <w:szCs w:val="20"/>
        </w:rPr>
        <w:t>Statement of Net Position</w:t>
      </w:r>
      <w:r w:rsidR="000D5652" w:rsidRPr="00397016">
        <w:rPr>
          <w:szCs w:val="20"/>
        </w:rPr>
        <w:t xml:space="preserve"> (III)</w:t>
      </w:r>
      <w:r w:rsidRPr="00397016">
        <w:rPr>
          <w:szCs w:val="20"/>
        </w:rPr>
        <w:t>, Statement of Revenues, Expenses, a</w:t>
      </w:r>
      <w:r w:rsidR="007E766F" w:rsidRPr="00397016">
        <w:rPr>
          <w:szCs w:val="20"/>
        </w:rPr>
        <w:t>nd Changes in Net Position</w:t>
      </w:r>
      <w:r w:rsidR="000D5652" w:rsidRPr="00397016">
        <w:rPr>
          <w:szCs w:val="20"/>
        </w:rPr>
        <w:t xml:space="preserve"> (IV)</w:t>
      </w:r>
      <w:r w:rsidR="007E766F" w:rsidRPr="00397016">
        <w:rPr>
          <w:szCs w:val="20"/>
        </w:rPr>
        <w:t xml:space="preserve">, </w:t>
      </w:r>
      <w:r w:rsidRPr="00397016">
        <w:rPr>
          <w:szCs w:val="20"/>
        </w:rPr>
        <w:t>the Statement of Cash Flows</w:t>
      </w:r>
      <w:r w:rsidR="000D5652" w:rsidRPr="00397016">
        <w:rPr>
          <w:szCs w:val="20"/>
        </w:rPr>
        <w:t xml:space="preserve"> (V),</w:t>
      </w:r>
      <w:r w:rsidR="007E766F" w:rsidRPr="00397016">
        <w:rPr>
          <w:szCs w:val="20"/>
        </w:rPr>
        <w:t xml:space="preserve"> and the NACUBO Function to Natural Classification Matrix</w:t>
      </w:r>
      <w:r w:rsidR="000D5652" w:rsidRPr="00397016">
        <w:rPr>
          <w:szCs w:val="20"/>
        </w:rPr>
        <w:t xml:space="preserve"> (IV-1)</w:t>
      </w:r>
      <w:r w:rsidR="007E766F" w:rsidRPr="00397016">
        <w:rPr>
          <w:szCs w:val="20"/>
        </w:rPr>
        <w:t>.</w:t>
      </w:r>
      <w:r w:rsidR="00106F2C" w:rsidRPr="00397016">
        <w:rPr>
          <w:szCs w:val="20"/>
        </w:rPr>
        <w:t xml:space="preserve"> The following notes provide an explanation of major financial changes in the last fiscal year compared to the prior fiscal year</w:t>
      </w:r>
      <w:r w:rsidR="00BF7731">
        <w:rPr>
          <w:szCs w:val="20"/>
        </w:rPr>
        <w:t>. (Subtotals may not tie due to rounding errors</w:t>
      </w:r>
      <w:r w:rsidR="00106F2C" w:rsidRPr="00397016">
        <w:rPr>
          <w:szCs w:val="20"/>
        </w:rPr>
        <w:t>.</w:t>
      </w:r>
      <w:r w:rsidR="00BF7731">
        <w:rPr>
          <w:szCs w:val="20"/>
        </w:rPr>
        <w:t>)</w:t>
      </w:r>
    </w:p>
    <w:p w:rsidR="009A2520" w:rsidRDefault="009A2520" w:rsidP="00106F2C">
      <w:pPr>
        <w:spacing w:line="360" w:lineRule="auto"/>
        <w:rPr>
          <w:b/>
          <w:sz w:val="28"/>
          <w:szCs w:val="28"/>
        </w:rPr>
      </w:pPr>
      <w:r>
        <w:rPr>
          <w:b/>
          <w:sz w:val="28"/>
          <w:szCs w:val="28"/>
        </w:rPr>
        <w:t xml:space="preserve"> </w:t>
      </w:r>
    </w:p>
    <w:p w:rsidR="0003667A" w:rsidRDefault="00EE6AC6" w:rsidP="000201DC">
      <w:pPr>
        <w:spacing w:line="360" w:lineRule="auto"/>
        <w:jc w:val="center"/>
        <w:rPr>
          <w:b/>
          <w:u w:val="single"/>
        </w:rPr>
      </w:pPr>
      <w:r>
        <w:rPr>
          <w:b/>
          <w:u w:val="single"/>
        </w:rPr>
        <w:t>Statement of Net Position</w:t>
      </w:r>
    </w:p>
    <w:p w:rsidR="00EE6AC6" w:rsidRDefault="00EE6AC6" w:rsidP="00EE6AC6">
      <w:pPr>
        <w:spacing w:line="360" w:lineRule="auto"/>
      </w:pPr>
      <w:r>
        <w:t>The Statement of Net Position (</w:t>
      </w:r>
      <w:r w:rsidR="005D1DC2">
        <w:t xml:space="preserve">AFR </w:t>
      </w:r>
      <w:r>
        <w:t>III)</w:t>
      </w:r>
      <w:r w:rsidR="0003667A">
        <w:t xml:space="preserve"> presents a snapshot of current and non-curren</w:t>
      </w:r>
      <w:r w:rsidR="00D23BC4">
        <w:t xml:space="preserve">t assets and </w:t>
      </w:r>
      <w:r w:rsidR="00F307CB">
        <w:t>liabilities for</w:t>
      </w:r>
      <w:r w:rsidR="0003667A">
        <w:t xml:space="preserve"> Tarleton State University as of the end of the fiscal year. Current a</w:t>
      </w:r>
      <w:r>
        <w:t>ssets include cash, cash equivalents, and those assets that can be converted to cash within one year. N</w:t>
      </w:r>
      <w:r w:rsidR="0003667A">
        <w:t xml:space="preserve">on-current </w:t>
      </w:r>
      <w:r>
        <w:t>assets include those assets that are not likely to turn to unrestricted cash within one year and are often referred to as long-term assets.</w:t>
      </w:r>
      <w:r w:rsidR="00AD1EE6">
        <w:t xml:space="preserve"> </w:t>
      </w:r>
      <w:r w:rsidR="00CC7E18">
        <w:t>The l</w:t>
      </w:r>
      <w:r w:rsidR="00AD1EE6">
        <w:t>iabilities</w:t>
      </w:r>
      <w:r w:rsidR="00CC7E18">
        <w:t xml:space="preserve"> recognized on the Statement are primarily </w:t>
      </w:r>
      <w:r w:rsidR="00404C27">
        <w:t>A</w:t>
      </w:r>
      <w:r w:rsidR="00CC7E18">
        <w:t xml:space="preserve">ccounts </w:t>
      </w:r>
      <w:r w:rsidR="00404C27">
        <w:t>P</w:t>
      </w:r>
      <w:r w:rsidR="00E00CD6">
        <w:t xml:space="preserve">ayable, </w:t>
      </w:r>
      <w:r w:rsidR="00404C27">
        <w:t>P</w:t>
      </w:r>
      <w:r w:rsidR="00CC7E18">
        <w:t xml:space="preserve">ayroll </w:t>
      </w:r>
      <w:r w:rsidR="00404C27">
        <w:t>P</w:t>
      </w:r>
      <w:r w:rsidR="00CC7E18">
        <w:t>ayable</w:t>
      </w:r>
      <w:r w:rsidR="00E00CD6">
        <w:t>,</w:t>
      </w:r>
      <w:r w:rsidR="00CC7E18">
        <w:t xml:space="preserve"> and </w:t>
      </w:r>
      <w:r w:rsidR="00404C27">
        <w:t>U</w:t>
      </w:r>
      <w:r w:rsidR="00CC7E18">
        <w:t xml:space="preserve">nearned </w:t>
      </w:r>
      <w:r w:rsidR="00404C27">
        <w:t>R</w:t>
      </w:r>
      <w:r w:rsidR="00CC7E18">
        <w:t>evenue</w:t>
      </w:r>
      <w:r w:rsidR="00404C27">
        <w:t xml:space="preserve"> (that is, tuition </w:t>
      </w:r>
      <w:r w:rsidR="000F1E58">
        <w:t xml:space="preserve">for the fall semester </w:t>
      </w:r>
      <w:r w:rsidR="00404C27">
        <w:t xml:space="preserve">paid before </w:t>
      </w:r>
      <w:r w:rsidR="000F1E58">
        <w:t xml:space="preserve">the start of the fiscal year). </w:t>
      </w:r>
      <w:r w:rsidR="00404C27">
        <w:t xml:space="preserve"> </w:t>
      </w:r>
      <w:r w:rsidR="00CB5FE2">
        <w:t>Certain l</w:t>
      </w:r>
      <w:r w:rsidR="00CC7E18">
        <w:t>ong term liabilities (</w:t>
      </w:r>
      <w:r w:rsidR="00B3622C">
        <w:t xml:space="preserve">such as </w:t>
      </w:r>
      <w:r w:rsidR="00CC7E18">
        <w:t xml:space="preserve">debt) are not shown on our Statement as those are consolidated at the </w:t>
      </w:r>
      <w:r w:rsidR="00CB5FE2">
        <w:t xml:space="preserve">A&amp;M </w:t>
      </w:r>
      <w:r w:rsidR="00CC7E18">
        <w:t>System level.</w:t>
      </w:r>
    </w:p>
    <w:p w:rsidR="00FD795D" w:rsidRDefault="00CC7E18" w:rsidP="00957CC1">
      <w:pPr>
        <w:pStyle w:val="ListParagraph"/>
        <w:numPr>
          <w:ilvl w:val="0"/>
          <w:numId w:val="5"/>
        </w:numPr>
        <w:spacing w:line="360" w:lineRule="auto"/>
      </w:pPr>
      <w:r>
        <w:t>T</w:t>
      </w:r>
      <w:r w:rsidR="0003667A" w:rsidRPr="00EE6AC6">
        <w:t xml:space="preserve">otal </w:t>
      </w:r>
      <w:r w:rsidR="00FD795D">
        <w:t>A</w:t>
      </w:r>
      <w:r w:rsidR="0003667A" w:rsidRPr="00EE6AC6">
        <w:t>ssets</w:t>
      </w:r>
      <w:r w:rsidR="009C6730">
        <w:t xml:space="preserve"> and Deferred Outflows</w:t>
      </w:r>
      <w:r w:rsidR="0003667A" w:rsidRPr="00EE6AC6">
        <w:t xml:space="preserve"> </w:t>
      </w:r>
      <w:r>
        <w:t>increased</w:t>
      </w:r>
      <w:r w:rsidR="0003667A" w:rsidRPr="00EE6AC6">
        <w:t xml:space="preserve"> $</w:t>
      </w:r>
      <w:r w:rsidR="00EE6AC6">
        <w:t>14.1</w:t>
      </w:r>
      <w:r w:rsidR="0003667A" w:rsidRPr="00EE6AC6">
        <w:t xml:space="preserve"> million</w:t>
      </w:r>
      <w:r w:rsidR="00B3622C">
        <w:t>,</w:t>
      </w:r>
      <w:r w:rsidR="0003667A" w:rsidRPr="00EE6AC6">
        <w:t xml:space="preserve"> or</w:t>
      </w:r>
      <w:r w:rsidR="0003667A">
        <w:t xml:space="preserve"> </w:t>
      </w:r>
      <w:r w:rsidR="00894218">
        <w:t>3.85</w:t>
      </w:r>
      <w:r w:rsidR="0003667A">
        <w:t>%</w:t>
      </w:r>
      <w:r w:rsidR="00B3622C">
        <w:t>, to $380 million</w:t>
      </w:r>
      <w:r w:rsidR="0003667A">
        <w:t xml:space="preserve">. </w:t>
      </w:r>
      <w:r w:rsidR="00FD795D">
        <w:t xml:space="preserve">The </w:t>
      </w:r>
      <w:r w:rsidR="00404C27">
        <w:t xml:space="preserve">increase occurred across </w:t>
      </w:r>
      <w:r w:rsidR="00B3622C">
        <w:t xml:space="preserve">the </w:t>
      </w:r>
      <w:r w:rsidR="00FD795D">
        <w:t>follo</w:t>
      </w:r>
      <w:r w:rsidR="00B3622C">
        <w:t>wing categories</w:t>
      </w:r>
      <w:r w:rsidR="00FD795D">
        <w:t>:</w:t>
      </w:r>
    </w:p>
    <w:p w:rsidR="009C6730" w:rsidRDefault="003575B6" w:rsidP="00473377">
      <w:pPr>
        <w:pStyle w:val="ListParagraph"/>
        <w:numPr>
          <w:ilvl w:val="1"/>
          <w:numId w:val="5"/>
        </w:numPr>
        <w:spacing w:line="360" w:lineRule="auto"/>
      </w:pPr>
      <w:r>
        <w:t>Cash &amp; Cash Equivalents (Unrestricted and Restricted) increased $</w:t>
      </w:r>
      <w:r w:rsidR="00957CC1">
        <w:t xml:space="preserve">4.2 </w:t>
      </w:r>
      <w:r>
        <w:t>million</w:t>
      </w:r>
      <w:r w:rsidR="00D14296">
        <w:t>,</w:t>
      </w:r>
      <w:r>
        <w:t xml:space="preserve"> or </w:t>
      </w:r>
      <w:r w:rsidR="00957CC1">
        <w:t>17.64%</w:t>
      </w:r>
      <w:r w:rsidR="00D14296">
        <w:t>, to $27.8 million</w:t>
      </w:r>
      <w:r w:rsidR="00957CC1">
        <w:t xml:space="preserve">. </w:t>
      </w:r>
    </w:p>
    <w:p w:rsidR="00FD795D" w:rsidRDefault="009C6730" w:rsidP="00473377">
      <w:pPr>
        <w:pStyle w:val="ListParagraph"/>
        <w:numPr>
          <w:ilvl w:val="1"/>
          <w:numId w:val="5"/>
        </w:numPr>
        <w:spacing w:line="360" w:lineRule="auto"/>
      </w:pPr>
      <w:r>
        <w:t>Federal Receivables decreased $7 million</w:t>
      </w:r>
      <w:r w:rsidR="00D14296">
        <w:t>,</w:t>
      </w:r>
      <w:r>
        <w:t xml:space="preserve"> or 67%</w:t>
      </w:r>
      <w:r w:rsidR="00D14296">
        <w:t>, to $3.4 million</w:t>
      </w:r>
      <w:r>
        <w:t xml:space="preserve"> due to timely drawing of reimbursements related to the federal Pell grant program.</w:t>
      </w:r>
    </w:p>
    <w:p w:rsidR="009C6730" w:rsidRDefault="009C6730" w:rsidP="00473377">
      <w:pPr>
        <w:pStyle w:val="ListParagraph"/>
        <w:numPr>
          <w:ilvl w:val="1"/>
          <w:numId w:val="5"/>
        </w:numPr>
        <w:spacing w:line="360" w:lineRule="auto"/>
      </w:pPr>
      <w:r>
        <w:t>Student Receivables decreased $1.1 million</w:t>
      </w:r>
      <w:r w:rsidR="00D14296">
        <w:t>,</w:t>
      </w:r>
      <w:r>
        <w:t xml:space="preserve"> or 5</w:t>
      </w:r>
      <w:r w:rsidR="00D653C3">
        <w:t>3</w:t>
      </w:r>
      <w:r>
        <w:t>%</w:t>
      </w:r>
      <w:r w:rsidR="00D14296">
        <w:t>, to just under $1 million.</w:t>
      </w:r>
    </w:p>
    <w:p w:rsidR="00D14296" w:rsidRPr="00F307CB" w:rsidRDefault="00FD795D" w:rsidP="00473377">
      <w:pPr>
        <w:pStyle w:val="ListParagraph"/>
        <w:numPr>
          <w:ilvl w:val="1"/>
          <w:numId w:val="5"/>
        </w:numPr>
        <w:spacing w:line="360" w:lineRule="auto"/>
      </w:pPr>
      <w:r w:rsidRPr="00F307CB">
        <w:t xml:space="preserve">Other Current Assets increased </w:t>
      </w:r>
      <w:r w:rsidR="00D14296" w:rsidRPr="00F307CB">
        <w:t xml:space="preserve">$8.6 million, or 119%, to $15.8 million primarily due to </w:t>
      </w:r>
      <w:r w:rsidR="00D653C3" w:rsidRPr="00716BA9">
        <w:t xml:space="preserve">an increase in prepaid scholarship expense.  This was made up of increased commitment of Texas Grants (restricted fund group), TPEG and Tuition Set-Asides (designated fund group).  </w:t>
      </w:r>
      <w:r w:rsidR="00F307CB" w:rsidRPr="00716BA9">
        <w:t>Not only were more funds awarded, but t</w:t>
      </w:r>
      <w:r w:rsidR="00D653C3" w:rsidRPr="00716BA9">
        <w:t xml:space="preserve">hese awards were made earlier </w:t>
      </w:r>
      <w:r w:rsidR="00CB5FE2">
        <w:t>in 2016</w:t>
      </w:r>
      <w:r w:rsidR="00D653C3" w:rsidRPr="00716BA9">
        <w:t xml:space="preserve"> (</w:t>
      </w:r>
      <w:r w:rsidR="00CB5FE2">
        <w:t xml:space="preserve">in </w:t>
      </w:r>
      <w:r w:rsidR="00D653C3" w:rsidRPr="00716BA9">
        <w:t xml:space="preserve">August, rather than September) as part of the financial aid department’s effort to get funds to students earlier in the semester.  </w:t>
      </w:r>
      <w:r w:rsidR="00F307CB" w:rsidRPr="00716BA9" w:rsidDel="00F307CB">
        <w:t xml:space="preserve"> </w:t>
      </w:r>
    </w:p>
    <w:p w:rsidR="00D06575" w:rsidRDefault="00D06575" w:rsidP="00473377">
      <w:pPr>
        <w:pStyle w:val="ListParagraph"/>
        <w:numPr>
          <w:ilvl w:val="1"/>
          <w:numId w:val="5"/>
        </w:numPr>
        <w:spacing w:line="360" w:lineRule="auto"/>
      </w:pPr>
      <w:r>
        <w:t xml:space="preserve">Restricted and unrestricted Assets held by the System Office increased a total of $3.7 million, or 2.8%, to </w:t>
      </w:r>
      <w:r w:rsidR="00B338D6">
        <w:t>$</w:t>
      </w:r>
      <w:r>
        <w:t xml:space="preserve">136 million. </w:t>
      </w:r>
    </w:p>
    <w:p w:rsidR="00957CC1" w:rsidRDefault="003575B6" w:rsidP="00473377">
      <w:pPr>
        <w:pStyle w:val="ListParagraph"/>
        <w:numPr>
          <w:ilvl w:val="1"/>
          <w:numId w:val="5"/>
        </w:numPr>
        <w:spacing w:line="360" w:lineRule="auto"/>
      </w:pPr>
      <w:r>
        <w:t xml:space="preserve">The net </w:t>
      </w:r>
      <w:r w:rsidR="00D14296">
        <w:t>change in all C</w:t>
      </w:r>
      <w:r>
        <w:t xml:space="preserve">apital </w:t>
      </w:r>
      <w:r w:rsidR="00D14296">
        <w:t>A</w:t>
      </w:r>
      <w:r>
        <w:t xml:space="preserve">ssets </w:t>
      </w:r>
      <w:r w:rsidR="00B81E26">
        <w:t>increased $5.9 million, or 3.5%, to</w:t>
      </w:r>
      <w:r>
        <w:t xml:space="preserve"> $17</w:t>
      </w:r>
      <w:r w:rsidR="00AF4A31">
        <w:t>8</w:t>
      </w:r>
      <w:r>
        <w:t xml:space="preserve">.4 million. </w:t>
      </w:r>
      <w:r w:rsidR="00B81E26">
        <w:t xml:space="preserve">The net increase consisted primarily of </w:t>
      </w:r>
      <w:r w:rsidR="00404C27">
        <w:t xml:space="preserve">$8.2 in Construction in Progress, $9.8 in additional Capital Assets, and </w:t>
      </w:r>
      <w:r w:rsidR="00B81E26">
        <w:t xml:space="preserve">$12.3 million in </w:t>
      </w:r>
      <w:r w:rsidR="00404C27">
        <w:t>Accumulated D</w:t>
      </w:r>
      <w:r w:rsidR="00B81E26">
        <w:t>epreciation.</w:t>
      </w:r>
      <w:r w:rsidR="00A425F7">
        <w:t xml:space="preserve">  </w:t>
      </w:r>
    </w:p>
    <w:p w:rsidR="00404C27" w:rsidRDefault="00404C27" w:rsidP="00957CC1">
      <w:pPr>
        <w:pStyle w:val="ListParagraph"/>
        <w:numPr>
          <w:ilvl w:val="0"/>
          <w:numId w:val="5"/>
        </w:numPr>
        <w:spacing w:line="360" w:lineRule="auto"/>
      </w:pPr>
      <w:r>
        <w:t xml:space="preserve">Total </w:t>
      </w:r>
      <w:r w:rsidR="003575B6">
        <w:t xml:space="preserve">Liabilities </w:t>
      </w:r>
      <w:r>
        <w:t xml:space="preserve">and Deferred Inflows </w:t>
      </w:r>
      <w:r w:rsidR="003575B6">
        <w:t xml:space="preserve">increased </w:t>
      </w:r>
      <w:r w:rsidR="00CB5FE2">
        <w:t xml:space="preserve">$15.9 million, or </w:t>
      </w:r>
      <w:r w:rsidR="000E501D">
        <w:t>27.3</w:t>
      </w:r>
      <w:r w:rsidR="003575B6">
        <w:t>%</w:t>
      </w:r>
      <w:r w:rsidR="00CB5FE2">
        <w:t>,</w:t>
      </w:r>
      <w:r w:rsidR="003575B6">
        <w:t xml:space="preserve"> from the 201</w:t>
      </w:r>
      <w:r w:rsidR="005F476C">
        <w:t>5</w:t>
      </w:r>
      <w:r w:rsidR="003575B6">
        <w:t xml:space="preserve"> amount of $5</w:t>
      </w:r>
      <w:r w:rsidR="00EB752F">
        <w:t>8</w:t>
      </w:r>
      <w:r w:rsidR="003575B6">
        <w:t>.</w:t>
      </w:r>
      <w:r w:rsidR="00EB752F">
        <w:t>3</w:t>
      </w:r>
      <w:r w:rsidR="003575B6">
        <w:t xml:space="preserve"> million to $</w:t>
      </w:r>
      <w:r w:rsidR="000E501D">
        <w:t>74.2</w:t>
      </w:r>
      <w:r w:rsidR="003575B6">
        <w:t xml:space="preserve"> million in 201</w:t>
      </w:r>
      <w:r w:rsidR="005F476C">
        <w:t>6</w:t>
      </w:r>
      <w:r w:rsidR="003575B6">
        <w:t>.</w:t>
      </w:r>
      <w:r w:rsidR="000E501D">
        <w:t xml:space="preserve"> </w:t>
      </w:r>
      <w:r w:rsidR="00E87D05">
        <w:t>The total increase is due to the following:</w:t>
      </w:r>
    </w:p>
    <w:p w:rsidR="00E87D05" w:rsidRDefault="00D23BC4" w:rsidP="00473377">
      <w:pPr>
        <w:pStyle w:val="ListParagraph"/>
        <w:numPr>
          <w:ilvl w:val="1"/>
          <w:numId w:val="5"/>
        </w:numPr>
        <w:spacing w:line="360" w:lineRule="auto"/>
      </w:pPr>
      <w:r>
        <w:t xml:space="preserve">Accounts </w:t>
      </w:r>
      <w:r w:rsidR="00E87D05">
        <w:t>P</w:t>
      </w:r>
      <w:r>
        <w:t xml:space="preserve">ayable </w:t>
      </w:r>
      <w:r w:rsidR="00E87D05">
        <w:t>increased</w:t>
      </w:r>
      <w:r w:rsidR="000E501D">
        <w:t xml:space="preserve"> $6.9 million due to more accurate accrual of payments due on purchases received not yet invoiced.  This increased accuracy was the result of implementation of e-procurement.  </w:t>
      </w:r>
    </w:p>
    <w:p w:rsidR="00E87D05" w:rsidRDefault="005D1DC2" w:rsidP="00473377">
      <w:pPr>
        <w:pStyle w:val="ListParagraph"/>
        <w:numPr>
          <w:ilvl w:val="1"/>
          <w:numId w:val="5"/>
        </w:numPr>
        <w:spacing w:line="360" w:lineRule="auto"/>
      </w:pPr>
      <w:r>
        <w:t xml:space="preserve">The amount </w:t>
      </w:r>
      <w:r w:rsidR="000E501D">
        <w:t xml:space="preserve">Due to Other Members increased $5.3 million </w:t>
      </w:r>
      <w:r w:rsidR="00E87D05">
        <w:t>because of</w:t>
      </w:r>
      <w:r w:rsidR="000E501D">
        <w:t xml:space="preserve"> funds committed to Texas A&amp;M System to fund initial costs of capital projects funded by FY17 tuition revenue bonds.</w:t>
      </w:r>
      <w:r>
        <w:t xml:space="preserve"> These funds will be returned to the University in FY17.</w:t>
      </w:r>
      <w:r w:rsidR="000E501D">
        <w:t xml:space="preserve">  </w:t>
      </w:r>
    </w:p>
    <w:p w:rsidR="003575B6" w:rsidRPr="00716BA9" w:rsidRDefault="006D739E" w:rsidP="00473377">
      <w:pPr>
        <w:pStyle w:val="ListParagraph"/>
        <w:numPr>
          <w:ilvl w:val="1"/>
          <w:numId w:val="5"/>
        </w:numPr>
        <w:spacing w:line="360" w:lineRule="auto"/>
      </w:pPr>
      <w:r w:rsidRPr="00F12FA5">
        <w:t>An</w:t>
      </w:r>
      <w:r w:rsidR="000E501D" w:rsidRPr="00F12FA5">
        <w:t xml:space="preserve"> additional $3.7 million fluctuation was </w:t>
      </w:r>
      <w:r w:rsidR="00D653C3" w:rsidRPr="00F12FA5">
        <w:t>due to increased unearned revenue of $5.9 million</w:t>
      </w:r>
      <w:r w:rsidR="00F12FA5">
        <w:t xml:space="preserve"> (</w:t>
      </w:r>
      <w:r w:rsidR="00F12FA5" w:rsidRPr="00F12FA5">
        <w:t xml:space="preserve">$3.4 million </w:t>
      </w:r>
      <w:r w:rsidR="00F12FA5">
        <w:t xml:space="preserve">in </w:t>
      </w:r>
      <w:r w:rsidR="00F12FA5" w:rsidRPr="00F12FA5">
        <w:t xml:space="preserve">housing and dining deposits </w:t>
      </w:r>
      <w:r w:rsidR="00F12FA5" w:rsidRPr="00716BA9">
        <w:t>and $2.5 million in tuition and fees paid for the 2017 academic year</w:t>
      </w:r>
      <w:r w:rsidR="00F12FA5">
        <w:t>)</w:t>
      </w:r>
      <w:r w:rsidR="00D653C3" w:rsidRPr="00F12FA5">
        <w:t>, an increase in accrued of payroll of $</w:t>
      </w:r>
      <w:r w:rsidR="00F12FA5">
        <w:t>8</w:t>
      </w:r>
      <w:r w:rsidR="00D653C3" w:rsidRPr="00F12FA5">
        <w:t>00</w:t>
      </w:r>
      <w:r w:rsidR="00F12FA5">
        <w:t>,000</w:t>
      </w:r>
      <w:r w:rsidR="00D653C3" w:rsidRPr="00F12FA5">
        <w:t xml:space="preserve">, and a decrease in funds held for others of $3 million. </w:t>
      </w:r>
    </w:p>
    <w:p w:rsidR="00A92140" w:rsidRPr="006F5D29" w:rsidRDefault="00D23BC4" w:rsidP="005C3433">
      <w:pPr>
        <w:pStyle w:val="ListParagraph"/>
        <w:numPr>
          <w:ilvl w:val="0"/>
          <w:numId w:val="5"/>
        </w:numPr>
        <w:spacing w:line="360" w:lineRule="auto"/>
        <w:rPr>
          <w:b/>
          <w:u w:val="single"/>
        </w:rPr>
      </w:pPr>
      <w:r>
        <w:t>The Unrestricted Net Position decreased 8.2% or $6.2 million</w:t>
      </w:r>
      <w:r w:rsidR="00F12FA5">
        <w:t>,</w:t>
      </w:r>
      <w:r>
        <w:t xml:space="preserve"> as expected</w:t>
      </w:r>
      <w:r w:rsidR="00F12FA5">
        <w:t>,</w:t>
      </w:r>
      <w:r>
        <w:t xml:space="preserve"> given </w:t>
      </w:r>
      <w:r w:rsidR="002B100A">
        <w:t xml:space="preserve">the investment in </w:t>
      </w:r>
      <w:r>
        <w:t>campus capital projects</w:t>
      </w:r>
      <w:r w:rsidR="002B100A">
        <w:t xml:space="preserve"> and deferred maintenance</w:t>
      </w:r>
      <w:r>
        <w:t>.</w:t>
      </w:r>
      <w:r w:rsidR="00C05847">
        <w:t xml:space="preserve"> </w:t>
      </w:r>
    </w:p>
    <w:p w:rsidR="0003667A" w:rsidRPr="00521080" w:rsidRDefault="00C05847" w:rsidP="005C3433">
      <w:pPr>
        <w:pStyle w:val="ListParagraph"/>
        <w:numPr>
          <w:ilvl w:val="0"/>
          <w:numId w:val="5"/>
        </w:numPr>
        <w:spacing w:line="360" w:lineRule="auto"/>
        <w:rPr>
          <w:b/>
          <w:u w:val="single"/>
        </w:rPr>
      </w:pPr>
      <w:r>
        <w:t>The</w:t>
      </w:r>
      <w:r w:rsidR="002B100A">
        <w:t xml:space="preserve"> </w:t>
      </w:r>
      <w:r w:rsidR="00F53193">
        <w:t xml:space="preserve">result of </w:t>
      </w:r>
      <w:r w:rsidR="00BF7731">
        <w:t>all</w:t>
      </w:r>
      <w:r w:rsidR="00F53193">
        <w:t xml:space="preserve"> the balance sheet changes is that the </w:t>
      </w:r>
      <w:r w:rsidR="000E501D">
        <w:t>Total Net Position</w:t>
      </w:r>
      <w:r w:rsidR="00A425F7">
        <w:t xml:space="preserve"> </w:t>
      </w:r>
      <w:r w:rsidR="00EB752F">
        <w:t>dec</w:t>
      </w:r>
      <w:r w:rsidR="00A425F7">
        <w:t>reased $</w:t>
      </w:r>
      <w:r w:rsidR="00521080">
        <w:t>1.8</w:t>
      </w:r>
      <w:r w:rsidR="00A425F7">
        <w:t xml:space="preserve"> million</w:t>
      </w:r>
      <w:r w:rsidR="00F12FA5">
        <w:t>, or</w:t>
      </w:r>
      <w:r w:rsidR="00A425F7">
        <w:t xml:space="preserve"> </w:t>
      </w:r>
      <w:r w:rsidR="00F12FA5">
        <w:t>0.6%</w:t>
      </w:r>
      <w:r w:rsidR="00F12FA5">
        <w:t>,</w:t>
      </w:r>
      <w:r w:rsidR="00F12FA5">
        <w:t xml:space="preserve"> </w:t>
      </w:r>
      <w:r w:rsidR="00A425F7">
        <w:t>from the 201</w:t>
      </w:r>
      <w:r w:rsidR="005F476C">
        <w:t>5</w:t>
      </w:r>
      <w:r w:rsidR="00A425F7">
        <w:t xml:space="preserve"> amount of $30</w:t>
      </w:r>
      <w:r w:rsidR="00EB752F">
        <w:t>7</w:t>
      </w:r>
      <w:r w:rsidR="00A425F7">
        <w:t>.</w:t>
      </w:r>
      <w:r w:rsidR="00EB752F">
        <w:t>6</w:t>
      </w:r>
      <w:r w:rsidR="00A425F7">
        <w:t xml:space="preserve"> million to </w:t>
      </w:r>
      <w:r w:rsidR="00A425F7" w:rsidRPr="000A1ED5">
        <w:t>$</w:t>
      </w:r>
      <w:r w:rsidR="00521080">
        <w:t>305.8</w:t>
      </w:r>
      <w:r w:rsidR="00A425F7" w:rsidRPr="000A1ED5">
        <w:t xml:space="preserve"> million in 201</w:t>
      </w:r>
      <w:r w:rsidR="005F476C">
        <w:t>6</w:t>
      </w:r>
      <w:r w:rsidR="00A425F7" w:rsidRPr="000A1ED5">
        <w:t xml:space="preserve">. </w:t>
      </w:r>
      <w:r w:rsidR="00F53193">
        <w:t>This result is reflected as the Change in Net Position</w:t>
      </w:r>
      <w:r w:rsidR="00A425F7" w:rsidRPr="000A1ED5">
        <w:t xml:space="preserve"> </w:t>
      </w:r>
      <w:r w:rsidR="00F53193">
        <w:t>on Exhibit IV, which is discussed next.</w:t>
      </w:r>
    </w:p>
    <w:p w:rsidR="00521080" w:rsidRPr="00521080" w:rsidRDefault="00521080" w:rsidP="00521080">
      <w:pPr>
        <w:pStyle w:val="ListParagraph"/>
        <w:spacing w:line="360" w:lineRule="auto"/>
        <w:rPr>
          <w:b/>
          <w:u w:val="single"/>
        </w:rPr>
      </w:pPr>
    </w:p>
    <w:p w:rsidR="00F12FA5" w:rsidRDefault="00564EDE" w:rsidP="00F12FA5">
      <w:pPr>
        <w:spacing w:line="360" w:lineRule="auto"/>
        <w:jc w:val="center"/>
        <w:rPr>
          <w:b/>
          <w:u w:val="single"/>
        </w:rPr>
      </w:pPr>
      <w:r>
        <w:rPr>
          <w:b/>
          <w:u w:val="single"/>
        </w:rPr>
        <w:t>Statement of Revenues, Expenses</w:t>
      </w:r>
      <w:r w:rsidR="00D02D5F">
        <w:rPr>
          <w:b/>
          <w:u w:val="single"/>
        </w:rPr>
        <w:t>,</w:t>
      </w:r>
      <w:r>
        <w:rPr>
          <w:b/>
          <w:u w:val="single"/>
        </w:rPr>
        <w:t xml:space="preserve"> and Changes in Net Position</w:t>
      </w:r>
    </w:p>
    <w:p w:rsidR="00267361" w:rsidRPr="00267361" w:rsidRDefault="00267361" w:rsidP="00F12FA5">
      <w:pPr>
        <w:spacing w:line="360" w:lineRule="auto"/>
      </w:pPr>
      <w:r>
        <w:t xml:space="preserve">The Statement of Revenues, Expenses, and Changes in Net Position </w:t>
      </w:r>
      <w:r w:rsidR="00C12C5A">
        <w:t>(</w:t>
      </w:r>
      <w:r w:rsidR="005D1DC2">
        <w:t xml:space="preserve">AFR </w:t>
      </w:r>
      <w:r w:rsidR="00C12C5A">
        <w:t xml:space="preserve">IV) </w:t>
      </w:r>
      <w:r>
        <w:t xml:space="preserve">presents </w:t>
      </w:r>
      <w:r w:rsidR="00F53193">
        <w:t xml:space="preserve">financial </w:t>
      </w:r>
      <w:r>
        <w:t xml:space="preserve">activity </w:t>
      </w:r>
      <w:r w:rsidR="003221EF">
        <w:t xml:space="preserve">for the fiscal year ended August 31, 2016. </w:t>
      </w:r>
      <w:r w:rsidR="00C54CA8">
        <w:t xml:space="preserve">This Statement </w:t>
      </w:r>
      <w:r w:rsidR="00F53193">
        <w:t xml:space="preserve">is commonly referred to as </w:t>
      </w:r>
      <w:r w:rsidR="00C54CA8">
        <w:t>an</w:t>
      </w:r>
      <w:r w:rsidR="00F53193">
        <w:t xml:space="preserve"> “income statement.”</w:t>
      </w:r>
      <w:r w:rsidR="003221EF">
        <w:t xml:space="preserve"> Activity is broken into </w:t>
      </w:r>
      <w:r w:rsidR="00603C76">
        <w:t>the following</w:t>
      </w:r>
      <w:r w:rsidR="003221EF">
        <w:t xml:space="preserve"> sections: Operating </w:t>
      </w:r>
      <w:r w:rsidR="00603C76">
        <w:t>Revenues</w:t>
      </w:r>
      <w:r w:rsidR="003221EF">
        <w:t xml:space="preserve">, </w:t>
      </w:r>
      <w:r w:rsidR="00603C76">
        <w:t xml:space="preserve">Operating Expenses, </w:t>
      </w:r>
      <w:r w:rsidR="003221EF">
        <w:t xml:space="preserve">Non-Operating </w:t>
      </w:r>
      <w:r w:rsidR="00603C76">
        <w:t>Revenues and Expenses</w:t>
      </w:r>
      <w:r w:rsidR="003221EF">
        <w:t xml:space="preserve">, and Other </w:t>
      </w:r>
      <w:r w:rsidR="00FF12E3">
        <w:t>R</w:t>
      </w:r>
      <w:r w:rsidR="003221EF">
        <w:t xml:space="preserve">evenues and </w:t>
      </w:r>
      <w:r w:rsidR="00FF12E3">
        <w:t>T</w:t>
      </w:r>
      <w:r w:rsidR="003221EF">
        <w:t>ransfers.</w:t>
      </w:r>
    </w:p>
    <w:p w:rsidR="00207028" w:rsidRDefault="00997FA6" w:rsidP="00473377">
      <w:pPr>
        <w:pStyle w:val="ListParagraph"/>
        <w:numPr>
          <w:ilvl w:val="0"/>
          <w:numId w:val="11"/>
        </w:numPr>
        <w:spacing w:line="360" w:lineRule="auto"/>
      </w:pPr>
      <w:r>
        <w:t>O</w:t>
      </w:r>
      <w:r w:rsidR="003D7855">
        <w:t xml:space="preserve">perating </w:t>
      </w:r>
      <w:r>
        <w:t>R</w:t>
      </w:r>
      <w:r w:rsidR="00F72B8B">
        <w:t>evenue</w:t>
      </w:r>
      <w:r>
        <w:t>s</w:t>
      </w:r>
      <w:r w:rsidR="00F72B8B">
        <w:t xml:space="preserve"> </w:t>
      </w:r>
      <w:r w:rsidR="00085403">
        <w:t xml:space="preserve">increased </w:t>
      </w:r>
      <w:r w:rsidR="005A5E03">
        <w:t>$</w:t>
      </w:r>
      <w:r w:rsidR="003D7855">
        <w:t>8.1</w:t>
      </w:r>
      <w:r w:rsidR="00D7079E">
        <w:t xml:space="preserve"> million</w:t>
      </w:r>
      <w:r w:rsidR="00C54CA8">
        <w:t>,</w:t>
      </w:r>
      <w:r w:rsidR="00D7079E">
        <w:t xml:space="preserve"> or </w:t>
      </w:r>
      <w:r w:rsidR="003D7855">
        <w:t>7.6</w:t>
      </w:r>
      <w:r w:rsidR="00D7079E">
        <w:t>%</w:t>
      </w:r>
      <w:r w:rsidR="00C54CA8">
        <w:t>,</w:t>
      </w:r>
      <w:r w:rsidR="00D7079E">
        <w:t xml:space="preserve"> </w:t>
      </w:r>
      <w:r w:rsidR="003D7855">
        <w:t>from $</w:t>
      </w:r>
      <w:r w:rsidR="00085403">
        <w:t>106.8</w:t>
      </w:r>
      <w:r w:rsidR="00B00F0E">
        <w:t xml:space="preserve"> </w:t>
      </w:r>
      <w:r w:rsidR="00F0357C">
        <w:t xml:space="preserve">million </w:t>
      </w:r>
      <w:r w:rsidR="00A52C69">
        <w:t>for the year ended August 31, 201</w:t>
      </w:r>
      <w:r w:rsidR="005F476C">
        <w:t>5</w:t>
      </w:r>
      <w:r w:rsidR="00A52C69">
        <w:t xml:space="preserve"> </w:t>
      </w:r>
      <w:r w:rsidR="007875C5">
        <w:t>to $</w:t>
      </w:r>
      <w:r w:rsidR="00085403">
        <w:t>11</w:t>
      </w:r>
      <w:r w:rsidR="00402EFD">
        <w:t>5</w:t>
      </w:r>
      <w:r w:rsidR="00D7079E">
        <w:t xml:space="preserve"> million for the year </w:t>
      </w:r>
      <w:r w:rsidR="00740368">
        <w:t>ended August 31, 201</w:t>
      </w:r>
      <w:r w:rsidR="005F476C">
        <w:t>6</w:t>
      </w:r>
      <w:r w:rsidR="00740368">
        <w:t>.</w:t>
      </w:r>
      <w:r w:rsidR="003D7855">
        <w:t xml:space="preserve">  </w:t>
      </w:r>
      <w:r w:rsidR="00636689">
        <w:t>Revenue by category changed as follows:</w:t>
      </w:r>
    </w:p>
    <w:p w:rsidR="002B100A" w:rsidRDefault="00D7079E" w:rsidP="00473377">
      <w:pPr>
        <w:pStyle w:val="ListParagraph"/>
        <w:numPr>
          <w:ilvl w:val="1"/>
          <w:numId w:val="11"/>
        </w:numPr>
        <w:spacing w:line="360" w:lineRule="auto"/>
      </w:pPr>
      <w:r w:rsidRPr="00B67CD8">
        <w:t>Net tuition and fee revenue increased $</w:t>
      </w:r>
      <w:r w:rsidR="00644E5A" w:rsidRPr="00B67CD8">
        <w:t>7</w:t>
      </w:r>
      <w:r w:rsidRPr="00B67CD8">
        <w:t>.</w:t>
      </w:r>
      <w:r w:rsidR="00846FB8" w:rsidRPr="00B67CD8">
        <w:t>3</w:t>
      </w:r>
      <w:r w:rsidRPr="00B67CD8">
        <w:t xml:space="preserve"> million</w:t>
      </w:r>
      <w:r w:rsidR="00C95384">
        <w:t>,</w:t>
      </w:r>
      <w:r w:rsidRPr="00B67CD8">
        <w:t xml:space="preserve"> or </w:t>
      </w:r>
      <w:r w:rsidR="003D7855" w:rsidRPr="00B67CD8">
        <w:t>11.</w:t>
      </w:r>
      <w:r w:rsidR="00B67CD8">
        <w:t>3</w:t>
      </w:r>
      <w:r w:rsidRPr="00B67CD8">
        <w:t>%</w:t>
      </w:r>
      <w:r w:rsidR="00C95384">
        <w:t>,</w:t>
      </w:r>
      <w:r w:rsidRPr="00B67CD8">
        <w:t xml:space="preserve"> </w:t>
      </w:r>
      <w:r w:rsidR="007875C5" w:rsidRPr="00B67CD8">
        <w:t>from $</w:t>
      </w:r>
      <w:r w:rsidR="00D02309" w:rsidRPr="00B67CD8">
        <w:t>65.2</w:t>
      </w:r>
      <w:r w:rsidR="006F6AA3" w:rsidRPr="00B67CD8">
        <w:t xml:space="preserve"> million for the year ended August 31, 201</w:t>
      </w:r>
      <w:r w:rsidR="005F476C" w:rsidRPr="00B67CD8">
        <w:t>5</w:t>
      </w:r>
      <w:r w:rsidR="006F6AA3" w:rsidRPr="00B67CD8">
        <w:t xml:space="preserve"> </w:t>
      </w:r>
      <w:r w:rsidRPr="00B67CD8">
        <w:t>to $</w:t>
      </w:r>
      <w:r w:rsidR="00D02309" w:rsidRPr="00B67CD8">
        <w:t>72.5</w:t>
      </w:r>
      <w:r w:rsidRPr="00B67CD8">
        <w:t xml:space="preserve"> million for the year ended August 31, 201</w:t>
      </w:r>
      <w:r w:rsidR="005F476C" w:rsidRPr="00B67CD8">
        <w:t>6</w:t>
      </w:r>
      <w:r w:rsidRPr="00B67CD8">
        <w:t xml:space="preserve">.  </w:t>
      </w:r>
      <w:r w:rsidR="002B100A">
        <w:t>The</w:t>
      </w:r>
      <w:r w:rsidR="00997FA6">
        <w:t xml:space="preserve"> net tuition and fee </w:t>
      </w:r>
      <w:r w:rsidR="002B100A">
        <w:t xml:space="preserve">increase was comprised of </w:t>
      </w:r>
    </w:p>
    <w:p w:rsidR="002B100A" w:rsidRDefault="00EE3912" w:rsidP="00473377">
      <w:pPr>
        <w:pStyle w:val="ListParagraph"/>
        <w:numPr>
          <w:ilvl w:val="2"/>
          <w:numId w:val="11"/>
        </w:numPr>
        <w:spacing w:line="360" w:lineRule="auto"/>
      </w:pPr>
      <w:r>
        <w:t>Statutory tuition</w:t>
      </w:r>
      <w:r w:rsidR="00997FA6">
        <w:t xml:space="preserve"> (</w:t>
      </w:r>
      <w:r>
        <w:t>$800</w:t>
      </w:r>
      <w:r w:rsidR="00F12FA5">
        <w:t>,000</w:t>
      </w:r>
      <w:r w:rsidR="00997FA6">
        <w:t>)</w:t>
      </w:r>
      <w:r>
        <w:t>, which reflects the overall increase in semester credit hours (SCH) produced</w:t>
      </w:r>
      <w:r w:rsidR="002B100A">
        <w:t>;</w:t>
      </w:r>
    </w:p>
    <w:p w:rsidR="002B100A" w:rsidRDefault="00EE3912" w:rsidP="00473377">
      <w:pPr>
        <w:pStyle w:val="ListParagraph"/>
        <w:numPr>
          <w:ilvl w:val="2"/>
          <w:numId w:val="11"/>
        </w:numPr>
        <w:spacing w:line="360" w:lineRule="auto"/>
      </w:pPr>
      <w:r>
        <w:t xml:space="preserve">Designated tuition </w:t>
      </w:r>
      <w:r w:rsidR="00997FA6">
        <w:t>(</w:t>
      </w:r>
      <w:r>
        <w:t>$2 million</w:t>
      </w:r>
      <w:r w:rsidR="00997FA6">
        <w:t>)</w:t>
      </w:r>
      <w:r>
        <w:t xml:space="preserve"> as a result of SCH growth and a board-approved inflation adjustment for incoming freshmen</w:t>
      </w:r>
      <w:r w:rsidR="002B100A">
        <w:t>;</w:t>
      </w:r>
      <w:r w:rsidR="00C95384">
        <w:t xml:space="preserve"> and </w:t>
      </w:r>
    </w:p>
    <w:p w:rsidR="0069047F" w:rsidRPr="00B67CD8" w:rsidRDefault="00EE3912" w:rsidP="00473377">
      <w:pPr>
        <w:pStyle w:val="ListParagraph"/>
        <w:numPr>
          <w:ilvl w:val="2"/>
          <w:numId w:val="11"/>
        </w:numPr>
        <w:spacing w:line="360" w:lineRule="auto"/>
      </w:pPr>
      <w:r>
        <w:t xml:space="preserve">Online program fees </w:t>
      </w:r>
      <w:r w:rsidR="002B100A">
        <w:t>(</w:t>
      </w:r>
      <w:r>
        <w:t>$1.3 million</w:t>
      </w:r>
      <w:r w:rsidR="002B100A">
        <w:t>)</w:t>
      </w:r>
      <w:r>
        <w:t xml:space="preserve"> and other fees </w:t>
      </w:r>
      <w:r w:rsidR="002B100A">
        <w:t>(</w:t>
      </w:r>
      <w:r>
        <w:t>$3.2 million</w:t>
      </w:r>
      <w:r w:rsidR="002B100A">
        <w:t>)</w:t>
      </w:r>
      <w:r>
        <w:t xml:space="preserve">.  </w:t>
      </w:r>
      <w:r w:rsidR="006C7380">
        <w:t>I</w:t>
      </w:r>
      <w:r w:rsidR="0003214B" w:rsidRPr="00B40158">
        <w:t>ncluded in these figures is a $.</w:t>
      </w:r>
      <w:r w:rsidR="00F00AB1" w:rsidRPr="00B40158">
        <w:t>6</w:t>
      </w:r>
      <w:r w:rsidR="0003214B" w:rsidRPr="00B40158">
        <w:t xml:space="preserve"> million increas</w:t>
      </w:r>
      <w:r w:rsidR="00FB1839" w:rsidRPr="00B40158">
        <w:t>e in Hazelwood exemptions</w:t>
      </w:r>
      <w:r w:rsidR="000201DC" w:rsidRPr="00B40158">
        <w:t xml:space="preserve"> to $</w:t>
      </w:r>
      <w:r w:rsidR="00F00AB1" w:rsidRPr="00B40158">
        <w:t>4.5 million</w:t>
      </w:r>
      <w:r w:rsidR="000201DC" w:rsidRPr="00B40158">
        <w:t xml:space="preserve"> total</w:t>
      </w:r>
      <w:r w:rsidR="00FB1839" w:rsidRPr="00B40158">
        <w:t>.</w:t>
      </w:r>
      <w:r w:rsidR="0069047F" w:rsidRPr="00C95384">
        <w:rPr>
          <w:u w:val="single"/>
        </w:rPr>
        <w:t xml:space="preserve">  </w:t>
      </w:r>
    </w:p>
    <w:p w:rsidR="00492CFF" w:rsidRPr="00382CAD" w:rsidRDefault="00BA6C56" w:rsidP="00473377">
      <w:pPr>
        <w:pStyle w:val="ListParagraph"/>
        <w:numPr>
          <w:ilvl w:val="1"/>
          <w:numId w:val="11"/>
        </w:numPr>
        <w:spacing w:line="360" w:lineRule="auto"/>
      </w:pPr>
      <w:r w:rsidRPr="00382CAD">
        <w:t xml:space="preserve">Auxiliary and </w:t>
      </w:r>
      <w:r w:rsidR="00C95384">
        <w:t>O</w:t>
      </w:r>
      <w:r w:rsidRPr="00382CAD">
        <w:t xml:space="preserve">ther </w:t>
      </w:r>
      <w:r w:rsidR="00C95384">
        <w:t>S</w:t>
      </w:r>
      <w:r w:rsidR="00A67733" w:rsidRPr="00382CAD">
        <w:t xml:space="preserve">ales </w:t>
      </w:r>
      <w:r w:rsidRPr="00382CAD">
        <w:t xml:space="preserve">revenue </w:t>
      </w:r>
      <w:r w:rsidR="002C544B" w:rsidRPr="00382CAD">
        <w:t>increased by $</w:t>
      </w:r>
      <w:r w:rsidR="00CC4C60" w:rsidRPr="00382CAD">
        <w:t>2</w:t>
      </w:r>
      <w:r w:rsidR="00644E5A" w:rsidRPr="00382CAD">
        <w:t>.4</w:t>
      </w:r>
      <w:r w:rsidR="00A67733" w:rsidRPr="00382CAD">
        <w:t xml:space="preserve"> million</w:t>
      </w:r>
      <w:r w:rsidR="00C95384">
        <w:t>,</w:t>
      </w:r>
      <w:r w:rsidR="00A67733" w:rsidRPr="00382CAD">
        <w:t xml:space="preserve"> or </w:t>
      </w:r>
      <w:r w:rsidR="0069047F" w:rsidRPr="00382CAD">
        <w:t>9.8</w:t>
      </w:r>
      <w:r w:rsidR="00E36D8A" w:rsidRPr="00382CAD">
        <w:t>%</w:t>
      </w:r>
      <w:r w:rsidR="00C95384">
        <w:t>,</w:t>
      </w:r>
      <w:r w:rsidR="00E36D8A" w:rsidRPr="00382CAD">
        <w:t xml:space="preserve"> </w:t>
      </w:r>
      <w:r w:rsidR="006F6AA3" w:rsidRPr="00382CAD">
        <w:t>from $2</w:t>
      </w:r>
      <w:r w:rsidR="0069047F" w:rsidRPr="00382CAD">
        <w:t>4.4</w:t>
      </w:r>
      <w:r w:rsidR="00644E5A" w:rsidRPr="00382CAD">
        <w:t xml:space="preserve"> </w:t>
      </w:r>
      <w:r w:rsidR="006F6AA3" w:rsidRPr="00382CAD">
        <w:t xml:space="preserve">million for the year ended </w:t>
      </w:r>
      <w:r w:rsidR="00CC4C60" w:rsidRPr="00382CAD">
        <w:t xml:space="preserve">August </w:t>
      </w:r>
      <w:r w:rsidR="006F6AA3" w:rsidRPr="00382CAD">
        <w:t>31, 201</w:t>
      </w:r>
      <w:r w:rsidR="005F476C" w:rsidRPr="00382CAD">
        <w:t>5</w:t>
      </w:r>
      <w:r w:rsidR="006F6AA3" w:rsidRPr="00382CAD">
        <w:t xml:space="preserve"> </w:t>
      </w:r>
      <w:r w:rsidR="00D7079E" w:rsidRPr="00382CAD">
        <w:t>to $</w:t>
      </w:r>
      <w:r w:rsidR="0069047F" w:rsidRPr="00382CAD">
        <w:t>26.8</w:t>
      </w:r>
      <w:r w:rsidR="00D7079E" w:rsidRPr="00382CAD">
        <w:t xml:space="preserve"> million for the year ended August 31, 201</w:t>
      </w:r>
      <w:r w:rsidR="005F476C" w:rsidRPr="00382CAD">
        <w:t>6</w:t>
      </w:r>
      <w:r w:rsidR="00D7079E" w:rsidRPr="00382CAD">
        <w:t>,</w:t>
      </w:r>
      <w:r w:rsidR="00A06078" w:rsidRPr="00382CAD">
        <w:t xml:space="preserve"> net </w:t>
      </w:r>
      <w:r w:rsidR="00D7079E" w:rsidRPr="00382CAD">
        <w:t xml:space="preserve">of discounts and allowances.  </w:t>
      </w:r>
      <w:r w:rsidR="00A06078" w:rsidRPr="00382CAD">
        <w:t>This increase consisted of</w:t>
      </w:r>
      <w:r w:rsidR="008238DE" w:rsidRPr="00382CAD">
        <w:t xml:space="preserve"> </w:t>
      </w:r>
      <w:r w:rsidR="00A06078" w:rsidRPr="00382CAD">
        <w:t>h</w:t>
      </w:r>
      <w:r w:rsidR="008238DE" w:rsidRPr="00382CAD">
        <w:t>ousing revenue</w:t>
      </w:r>
      <w:r w:rsidR="00382CAD">
        <w:t xml:space="preserve"> ($.4 million)</w:t>
      </w:r>
      <w:r w:rsidR="002A57B4" w:rsidRPr="00382CAD">
        <w:t xml:space="preserve">, </w:t>
      </w:r>
      <w:r w:rsidR="00382CAD">
        <w:t xml:space="preserve">dining revenue ($.6 million), ground lease revenue ($.9 million), </w:t>
      </w:r>
      <w:r w:rsidR="002A57B4" w:rsidRPr="00382CAD">
        <w:t xml:space="preserve">and </w:t>
      </w:r>
      <w:r w:rsidR="003C412C" w:rsidRPr="00382CAD">
        <w:t>o</w:t>
      </w:r>
      <w:r w:rsidR="008238DE" w:rsidRPr="00382CAD">
        <w:t xml:space="preserve">ther auxiliary and sales revenues </w:t>
      </w:r>
      <w:r w:rsidR="00382CAD">
        <w:t>($.</w:t>
      </w:r>
      <w:r w:rsidR="00C95384">
        <w:t>5</w:t>
      </w:r>
      <w:r w:rsidR="008238DE" w:rsidRPr="00382CAD">
        <w:t xml:space="preserve"> million</w:t>
      </w:r>
      <w:r w:rsidR="002A57B4" w:rsidRPr="00382CAD">
        <w:t>)</w:t>
      </w:r>
      <w:r w:rsidR="003C412C" w:rsidRPr="00382CAD">
        <w:t>.</w:t>
      </w:r>
      <w:r w:rsidR="00492CFF" w:rsidRPr="00382CAD">
        <w:t xml:space="preserve">  </w:t>
      </w:r>
    </w:p>
    <w:p w:rsidR="002C5711" w:rsidRPr="006F5D29" w:rsidRDefault="002C5711" w:rsidP="00716BA9">
      <w:pPr>
        <w:pStyle w:val="ListParagraph"/>
        <w:spacing w:line="360" w:lineRule="auto"/>
        <w:ind w:left="1440"/>
      </w:pPr>
    </w:p>
    <w:p w:rsidR="0082604B" w:rsidRDefault="0069047F" w:rsidP="00F12FA5">
      <w:pPr>
        <w:pStyle w:val="ListParagraph"/>
        <w:numPr>
          <w:ilvl w:val="1"/>
          <w:numId w:val="11"/>
        </w:numPr>
        <w:spacing w:line="360" w:lineRule="auto"/>
      </w:pPr>
      <w:r w:rsidRPr="00B51F8E">
        <w:t>Operating revenues from grants and contracts</w:t>
      </w:r>
      <w:r w:rsidR="002C544B" w:rsidRPr="00B51F8E">
        <w:t xml:space="preserve"> </w:t>
      </w:r>
      <w:r w:rsidR="001426F8">
        <w:t>(Federal, State</w:t>
      </w:r>
      <w:r w:rsidR="002C5711">
        <w:t>,</w:t>
      </w:r>
      <w:r w:rsidR="001426F8">
        <w:t xml:space="preserve"> and </w:t>
      </w:r>
      <w:r w:rsidR="002C5711">
        <w:t xml:space="preserve">Other) </w:t>
      </w:r>
      <w:r w:rsidR="00994669" w:rsidRPr="00B51F8E">
        <w:t>decr</w:t>
      </w:r>
      <w:r w:rsidR="002C544B" w:rsidRPr="00B51F8E">
        <w:t>eased $</w:t>
      </w:r>
      <w:r w:rsidR="00994669" w:rsidRPr="00B51F8E">
        <w:t>1</w:t>
      </w:r>
      <w:r w:rsidRPr="00B51F8E">
        <w:t>.7</w:t>
      </w:r>
      <w:r w:rsidR="003C412C" w:rsidRPr="00B51F8E">
        <w:t xml:space="preserve"> million</w:t>
      </w:r>
      <w:r w:rsidR="001426F8">
        <w:t>,</w:t>
      </w:r>
      <w:r w:rsidR="003C412C" w:rsidRPr="00B51F8E">
        <w:t xml:space="preserve"> or </w:t>
      </w:r>
      <w:r w:rsidRPr="00B51F8E">
        <w:t>9.</w:t>
      </w:r>
      <w:r w:rsidR="00994669" w:rsidRPr="00B51F8E">
        <w:t>9</w:t>
      </w:r>
      <w:r w:rsidR="003C412C" w:rsidRPr="00B51F8E">
        <w:t>%</w:t>
      </w:r>
      <w:r w:rsidR="001426F8">
        <w:t>,</w:t>
      </w:r>
      <w:r w:rsidR="003C412C" w:rsidRPr="00B51F8E">
        <w:t xml:space="preserve"> </w:t>
      </w:r>
      <w:r w:rsidRPr="00B51F8E">
        <w:t>from $16.7 million</w:t>
      </w:r>
      <w:r w:rsidR="006F6AA3" w:rsidRPr="00B51F8E">
        <w:t xml:space="preserve"> for the year ended August 31, 201</w:t>
      </w:r>
      <w:r w:rsidR="005F476C" w:rsidRPr="00B51F8E">
        <w:t>5</w:t>
      </w:r>
      <w:r w:rsidR="006F6AA3" w:rsidRPr="00B51F8E">
        <w:t xml:space="preserve"> </w:t>
      </w:r>
      <w:r w:rsidRPr="00B51F8E">
        <w:t>to $15</w:t>
      </w:r>
      <w:r w:rsidR="003C412C" w:rsidRPr="00B51F8E">
        <w:t xml:space="preserve"> million for the year ended August 31, 201</w:t>
      </w:r>
      <w:r w:rsidR="005F476C" w:rsidRPr="00B51F8E">
        <w:t>6</w:t>
      </w:r>
      <w:r w:rsidR="005D36DA" w:rsidRPr="00B51F8E">
        <w:t>.  The decrease is primarily due to a $2.2 million decrease in revenue received from the Center of Agribusiness Excellence grant program</w:t>
      </w:r>
      <w:r w:rsidR="00AB7279">
        <w:t>.</w:t>
      </w:r>
      <w:r w:rsidRPr="00B51F8E">
        <w:t xml:space="preserve"> </w:t>
      </w:r>
    </w:p>
    <w:p w:rsidR="00740368" w:rsidRPr="00B51F8E" w:rsidRDefault="003E4B37" w:rsidP="006F5D29">
      <w:pPr>
        <w:pStyle w:val="ListParagraph"/>
        <w:numPr>
          <w:ilvl w:val="0"/>
          <w:numId w:val="11"/>
        </w:numPr>
        <w:spacing w:line="360" w:lineRule="auto"/>
      </w:pPr>
      <w:r>
        <w:t>Operating</w:t>
      </w:r>
      <w:r w:rsidR="00377A69" w:rsidRPr="00B51F8E">
        <w:t xml:space="preserve"> </w:t>
      </w:r>
      <w:r>
        <w:t>Expenses</w:t>
      </w:r>
      <w:r w:rsidR="00377A69" w:rsidRPr="00B51F8E">
        <w:t xml:space="preserve"> increased $</w:t>
      </w:r>
      <w:r w:rsidR="004C4AE4" w:rsidRPr="00B51F8E">
        <w:t>12</w:t>
      </w:r>
      <w:r w:rsidR="00377A69" w:rsidRPr="00B51F8E">
        <w:t>.</w:t>
      </w:r>
      <w:r w:rsidR="001623A6" w:rsidRPr="00B51F8E">
        <w:t>2</w:t>
      </w:r>
      <w:r w:rsidR="00740368" w:rsidRPr="00B51F8E">
        <w:t xml:space="preserve"> million</w:t>
      </w:r>
      <w:r w:rsidR="002C5711">
        <w:t>,</w:t>
      </w:r>
      <w:r w:rsidR="00740368" w:rsidRPr="00B51F8E">
        <w:t xml:space="preserve"> or </w:t>
      </w:r>
      <w:r w:rsidR="004C4AE4" w:rsidRPr="00B51F8E">
        <w:t>7.3</w:t>
      </w:r>
      <w:r w:rsidR="00740368" w:rsidRPr="00B51F8E">
        <w:t>%</w:t>
      </w:r>
      <w:r w:rsidR="002C5711">
        <w:t>,</w:t>
      </w:r>
      <w:r w:rsidR="00740368" w:rsidRPr="00B51F8E">
        <w:t xml:space="preserve"> </w:t>
      </w:r>
      <w:r w:rsidR="00377A69" w:rsidRPr="00B51F8E">
        <w:t>from $</w:t>
      </w:r>
      <w:r w:rsidR="001623A6" w:rsidRPr="00B51F8E">
        <w:t>166.3</w:t>
      </w:r>
      <w:r w:rsidR="00377A69" w:rsidRPr="00B51F8E">
        <w:t xml:space="preserve"> million for the year ended August 31, 201</w:t>
      </w:r>
      <w:r w:rsidR="005F476C" w:rsidRPr="00B51F8E">
        <w:t>5</w:t>
      </w:r>
      <w:r w:rsidR="00377A69" w:rsidRPr="00B51F8E">
        <w:t xml:space="preserve"> </w:t>
      </w:r>
      <w:r w:rsidR="00740368" w:rsidRPr="00B51F8E">
        <w:t>to $</w:t>
      </w:r>
      <w:r w:rsidR="00B86BF5" w:rsidRPr="00B51F8E">
        <w:t>1</w:t>
      </w:r>
      <w:r w:rsidR="004C4AE4" w:rsidRPr="00B51F8E">
        <w:t>78.5</w:t>
      </w:r>
      <w:r w:rsidR="00740368" w:rsidRPr="00B51F8E">
        <w:t xml:space="preserve"> million for the year ended August 31, 201</w:t>
      </w:r>
      <w:r w:rsidR="005F476C" w:rsidRPr="00B51F8E">
        <w:t>6</w:t>
      </w:r>
      <w:r w:rsidR="00740368" w:rsidRPr="00B51F8E">
        <w:t>.  Expenses by function changed as follows:</w:t>
      </w:r>
    </w:p>
    <w:p w:rsidR="00E06047" w:rsidRPr="00B51F8E" w:rsidRDefault="002C001B" w:rsidP="006F5D29">
      <w:pPr>
        <w:pStyle w:val="ListParagraph"/>
        <w:numPr>
          <w:ilvl w:val="1"/>
          <w:numId w:val="11"/>
        </w:numPr>
        <w:spacing w:line="360" w:lineRule="auto"/>
      </w:pPr>
      <w:r w:rsidRPr="00B51F8E">
        <w:t>Instruction</w:t>
      </w:r>
      <w:r w:rsidR="00E06047" w:rsidRPr="00B51F8E">
        <w:t xml:space="preserve"> expense increased $</w:t>
      </w:r>
      <w:r w:rsidR="001623A6" w:rsidRPr="00B51F8E">
        <w:t>3</w:t>
      </w:r>
      <w:r w:rsidR="00377A69" w:rsidRPr="00B51F8E">
        <w:t>.</w:t>
      </w:r>
      <w:r w:rsidR="001623A6" w:rsidRPr="00B51F8E">
        <w:t>3</w:t>
      </w:r>
      <w:r w:rsidR="00E06047" w:rsidRPr="00B51F8E">
        <w:t xml:space="preserve"> million</w:t>
      </w:r>
      <w:r w:rsidR="002C5711">
        <w:t>,</w:t>
      </w:r>
      <w:r w:rsidR="00E06047" w:rsidRPr="00B51F8E">
        <w:t xml:space="preserve"> </w:t>
      </w:r>
      <w:r w:rsidR="00740368" w:rsidRPr="00B51F8E">
        <w:t xml:space="preserve">or </w:t>
      </w:r>
      <w:r w:rsidR="004C4AE4" w:rsidRPr="00B51F8E">
        <w:t>5.9</w:t>
      </w:r>
      <w:r w:rsidR="00740368" w:rsidRPr="00B51F8E">
        <w:t>%</w:t>
      </w:r>
      <w:r w:rsidR="002C5711">
        <w:t>,</w:t>
      </w:r>
      <w:r w:rsidR="00377A69" w:rsidRPr="00B51F8E">
        <w:t xml:space="preserve"> from $</w:t>
      </w:r>
      <w:r w:rsidR="001623A6" w:rsidRPr="00B51F8E">
        <w:t>56.0</w:t>
      </w:r>
      <w:r w:rsidR="00377A69" w:rsidRPr="00B51F8E">
        <w:t xml:space="preserve"> million for the year ended August 31, 201</w:t>
      </w:r>
      <w:r w:rsidR="005F476C" w:rsidRPr="00B51F8E">
        <w:t>5</w:t>
      </w:r>
      <w:r w:rsidR="00740368" w:rsidRPr="00B51F8E">
        <w:t xml:space="preserve"> to $</w:t>
      </w:r>
      <w:r w:rsidR="00B86BF5" w:rsidRPr="00B51F8E">
        <w:t>5</w:t>
      </w:r>
      <w:r w:rsidR="001623A6" w:rsidRPr="00B51F8E">
        <w:t>9.3</w:t>
      </w:r>
      <w:r w:rsidR="00740368" w:rsidRPr="00B51F8E">
        <w:t xml:space="preserve"> million</w:t>
      </w:r>
      <w:r w:rsidR="00377A69" w:rsidRPr="00B51F8E">
        <w:t xml:space="preserve"> for the year ended August 31, 2</w:t>
      </w:r>
      <w:r w:rsidR="004624BA" w:rsidRPr="00B51F8E">
        <w:t>01</w:t>
      </w:r>
      <w:r w:rsidR="005F476C" w:rsidRPr="00B51F8E">
        <w:t>6</w:t>
      </w:r>
      <w:r w:rsidR="004624BA" w:rsidRPr="00B51F8E">
        <w:t>.</w:t>
      </w:r>
    </w:p>
    <w:p w:rsidR="00BA2A96" w:rsidRPr="00B51F8E" w:rsidRDefault="002C001B" w:rsidP="006F5D29">
      <w:pPr>
        <w:pStyle w:val="ListParagraph"/>
        <w:numPr>
          <w:ilvl w:val="1"/>
          <w:numId w:val="11"/>
        </w:numPr>
        <w:spacing w:line="360" w:lineRule="auto"/>
      </w:pPr>
      <w:r w:rsidRPr="00B51F8E">
        <w:t>Research</w:t>
      </w:r>
      <w:r w:rsidR="00E06047" w:rsidRPr="00B51F8E">
        <w:t xml:space="preserve"> expense </w:t>
      </w:r>
      <w:r w:rsidR="00B86BF5" w:rsidRPr="00B51F8E">
        <w:t>was relatively unchanged at $8.</w:t>
      </w:r>
      <w:r w:rsidR="00FC6794" w:rsidRPr="00B51F8E">
        <w:t>3</w:t>
      </w:r>
      <w:r w:rsidR="00B86BF5" w:rsidRPr="00B51F8E">
        <w:t xml:space="preserve"> million for the year ended August 31, 201</w:t>
      </w:r>
      <w:r w:rsidR="005F476C" w:rsidRPr="00B51F8E">
        <w:t>6</w:t>
      </w:r>
      <w:r w:rsidR="00B86BF5" w:rsidRPr="00B51F8E">
        <w:t xml:space="preserve">.  </w:t>
      </w:r>
    </w:p>
    <w:p w:rsidR="00DE4C35" w:rsidRPr="00B51F8E" w:rsidRDefault="002C001B" w:rsidP="006F5D29">
      <w:pPr>
        <w:pStyle w:val="ListParagraph"/>
        <w:numPr>
          <w:ilvl w:val="1"/>
          <w:numId w:val="11"/>
        </w:numPr>
        <w:spacing w:line="360" w:lineRule="auto"/>
      </w:pPr>
      <w:r w:rsidRPr="00B51F8E">
        <w:t>P</w:t>
      </w:r>
      <w:r w:rsidR="00BA2A96" w:rsidRPr="00B51F8E">
        <w:t xml:space="preserve">ublic Service expense </w:t>
      </w:r>
      <w:r w:rsidR="00DE4C35" w:rsidRPr="00B51F8E">
        <w:t>was relatively unchanged at $2.3 million for th</w:t>
      </w:r>
      <w:r w:rsidR="004624BA" w:rsidRPr="00B51F8E">
        <w:t>e year ended August 31, 201</w:t>
      </w:r>
      <w:r w:rsidR="005F476C" w:rsidRPr="00B51F8E">
        <w:t>6</w:t>
      </w:r>
      <w:r w:rsidR="00BA2A96" w:rsidRPr="00B51F8E">
        <w:t>.</w:t>
      </w:r>
      <w:r w:rsidR="00B86BF5" w:rsidRPr="00B51F8E">
        <w:t xml:space="preserve">  </w:t>
      </w:r>
    </w:p>
    <w:p w:rsidR="00BA2A96" w:rsidRPr="00B51F8E" w:rsidRDefault="002C001B" w:rsidP="006F5D29">
      <w:pPr>
        <w:pStyle w:val="ListParagraph"/>
        <w:numPr>
          <w:ilvl w:val="1"/>
          <w:numId w:val="11"/>
        </w:numPr>
        <w:spacing w:line="360" w:lineRule="auto"/>
      </w:pPr>
      <w:r w:rsidRPr="00B51F8E">
        <w:t>Academic Support</w:t>
      </w:r>
      <w:r w:rsidR="00BA2A96" w:rsidRPr="00B51F8E">
        <w:t xml:space="preserve"> expense increased </w:t>
      </w:r>
      <w:r w:rsidRPr="00B51F8E">
        <w:t>$1.</w:t>
      </w:r>
      <w:r w:rsidR="00B86BF5" w:rsidRPr="00B51F8E">
        <w:t>1</w:t>
      </w:r>
      <w:r w:rsidRPr="00B51F8E">
        <w:t xml:space="preserve"> million</w:t>
      </w:r>
      <w:r w:rsidR="003E4B37">
        <w:t>,</w:t>
      </w:r>
      <w:r w:rsidR="004624BA" w:rsidRPr="00B51F8E">
        <w:t xml:space="preserve"> or 1</w:t>
      </w:r>
      <w:r w:rsidR="00B86BF5" w:rsidRPr="00B51F8E">
        <w:t>0</w:t>
      </w:r>
      <w:r w:rsidR="009E798F" w:rsidRPr="00B51F8E">
        <w:t>%</w:t>
      </w:r>
      <w:r w:rsidR="003E4B37">
        <w:t>,</w:t>
      </w:r>
      <w:r w:rsidR="009E798F" w:rsidRPr="00B51F8E">
        <w:t xml:space="preserve"> </w:t>
      </w:r>
      <w:r w:rsidR="004624BA" w:rsidRPr="00B51F8E">
        <w:t>from $</w:t>
      </w:r>
      <w:r w:rsidR="00DE4C35" w:rsidRPr="00B51F8E">
        <w:t>11</w:t>
      </w:r>
      <w:r w:rsidR="004624BA" w:rsidRPr="00B51F8E">
        <w:t>.</w:t>
      </w:r>
      <w:r w:rsidR="00DE4C35" w:rsidRPr="00B51F8E">
        <w:t>1</w:t>
      </w:r>
      <w:r w:rsidR="004624BA" w:rsidRPr="00B51F8E">
        <w:t xml:space="preserve"> million for the year ended August 31, 201</w:t>
      </w:r>
      <w:r w:rsidR="005F476C" w:rsidRPr="00B51F8E">
        <w:t>5</w:t>
      </w:r>
      <w:r w:rsidR="004624BA" w:rsidRPr="00B51F8E">
        <w:t xml:space="preserve"> </w:t>
      </w:r>
      <w:r w:rsidR="009E798F" w:rsidRPr="00B51F8E">
        <w:t>to $</w:t>
      </w:r>
      <w:r w:rsidR="00B86BF5" w:rsidRPr="00B51F8E">
        <w:t>1</w:t>
      </w:r>
      <w:r w:rsidR="001E6A95" w:rsidRPr="00B51F8E">
        <w:t>2</w:t>
      </w:r>
      <w:r w:rsidR="009E798F" w:rsidRPr="00B51F8E">
        <w:t>.</w:t>
      </w:r>
      <w:r w:rsidR="001E6A95" w:rsidRPr="00B51F8E">
        <w:t>2</w:t>
      </w:r>
      <w:r w:rsidR="009E798F" w:rsidRPr="00B51F8E">
        <w:t xml:space="preserve"> million</w:t>
      </w:r>
      <w:r w:rsidR="004624BA" w:rsidRPr="00B51F8E">
        <w:t xml:space="preserve"> for the year ended August 31, 201</w:t>
      </w:r>
      <w:r w:rsidR="005F476C" w:rsidRPr="00B51F8E">
        <w:t>6</w:t>
      </w:r>
      <w:r w:rsidR="004624BA" w:rsidRPr="00B51F8E">
        <w:t>.</w:t>
      </w:r>
    </w:p>
    <w:p w:rsidR="00BA2A96" w:rsidRPr="00B51F8E" w:rsidRDefault="009E798F" w:rsidP="006F5D29">
      <w:pPr>
        <w:pStyle w:val="ListParagraph"/>
        <w:numPr>
          <w:ilvl w:val="1"/>
          <w:numId w:val="11"/>
        </w:numPr>
        <w:spacing w:line="360" w:lineRule="auto"/>
      </w:pPr>
      <w:r w:rsidRPr="00B51F8E">
        <w:t>Stude</w:t>
      </w:r>
      <w:r w:rsidR="002C001B" w:rsidRPr="00B51F8E">
        <w:t>nt S</w:t>
      </w:r>
      <w:r w:rsidR="00E36D8A" w:rsidRPr="00B51F8E">
        <w:t>ervices</w:t>
      </w:r>
      <w:r w:rsidR="00BA2A96" w:rsidRPr="00B51F8E">
        <w:t xml:space="preserve"> expense increased </w:t>
      </w:r>
      <w:r w:rsidR="004624BA" w:rsidRPr="00B51F8E">
        <w:t>$</w:t>
      </w:r>
      <w:r w:rsidR="001E6A95" w:rsidRPr="00B51F8E">
        <w:t>2</w:t>
      </w:r>
      <w:r w:rsidR="004624BA" w:rsidRPr="00B51F8E">
        <w:t>.</w:t>
      </w:r>
      <w:r w:rsidR="001E6A95" w:rsidRPr="00B51F8E">
        <w:t>1</w:t>
      </w:r>
      <w:r w:rsidR="00E36D8A" w:rsidRPr="00B51F8E">
        <w:t xml:space="preserve"> million</w:t>
      </w:r>
      <w:r w:rsidR="003E4B37">
        <w:t>,</w:t>
      </w:r>
      <w:r w:rsidRPr="00B51F8E">
        <w:t xml:space="preserve"> or </w:t>
      </w:r>
      <w:r w:rsidR="001E6A95" w:rsidRPr="00B51F8E">
        <w:t>26</w:t>
      </w:r>
      <w:r w:rsidR="004624BA" w:rsidRPr="00B51F8E">
        <w:t>.</w:t>
      </w:r>
      <w:r w:rsidR="007F4C93" w:rsidRPr="00B51F8E">
        <w:t>0</w:t>
      </w:r>
      <w:r w:rsidRPr="00B51F8E">
        <w:t>%</w:t>
      </w:r>
      <w:r w:rsidR="003E4B37">
        <w:t>,</w:t>
      </w:r>
      <w:r w:rsidRPr="00B51F8E">
        <w:t xml:space="preserve"> </w:t>
      </w:r>
      <w:r w:rsidR="004624BA" w:rsidRPr="00B51F8E">
        <w:t>from $</w:t>
      </w:r>
      <w:r w:rsidR="001E6A95" w:rsidRPr="00B51F8E">
        <w:t>8.2</w:t>
      </w:r>
      <w:r w:rsidR="004624BA" w:rsidRPr="00B51F8E">
        <w:t xml:space="preserve"> million for the year ended August 31, 201</w:t>
      </w:r>
      <w:r w:rsidR="005F476C" w:rsidRPr="00B51F8E">
        <w:t>5</w:t>
      </w:r>
      <w:r w:rsidR="004624BA" w:rsidRPr="00B51F8E">
        <w:t xml:space="preserve"> </w:t>
      </w:r>
      <w:r w:rsidRPr="00B51F8E">
        <w:t>to $</w:t>
      </w:r>
      <w:r w:rsidR="004C4AE4" w:rsidRPr="00B51F8E">
        <w:t>10.3</w:t>
      </w:r>
      <w:r w:rsidRPr="00B51F8E">
        <w:t xml:space="preserve"> million</w:t>
      </w:r>
      <w:r w:rsidR="004624BA" w:rsidRPr="00B51F8E">
        <w:t xml:space="preserve"> for the year ended August 31, 201</w:t>
      </w:r>
      <w:r w:rsidR="005F476C" w:rsidRPr="00B51F8E">
        <w:t>6</w:t>
      </w:r>
      <w:r w:rsidR="004624BA" w:rsidRPr="00B51F8E">
        <w:t>.</w:t>
      </w:r>
    </w:p>
    <w:p w:rsidR="000D74D5" w:rsidRDefault="002C001B" w:rsidP="006F5D29">
      <w:pPr>
        <w:pStyle w:val="ListParagraph"/>
        <w:numPr>
          <w:ilvl w:val="1"/>
          <w:numId w:val="11"/>
        </w:numPr>
        <w:spacing w:line="360" w:lineRule="auto"/>
      </w:pPr>
      <w:r>
        <w:t>Institutional Support</w:t>
      </w:r>
      <w:r w:rsidR="004624BA">
        <w:t xml:space="preserve"> expense increased </w:t>
      </w:r>
      <w:r w:rsidR="004624BA" w:rsidRPr="007F4C93">
        <w:t>$</w:t>
      </w:r>
      <w:r w:rsidR="00EC216C">
        <w:t>2.</w:t>
      </w:r>
      <w:r w:rsidR="00763F2D">
        <w:t>9</w:t>
      </w:r>
      <w:r w:rsidR="00BA2A96" w:rsidRPr="007F4C93">
        <w:t xml:space="preserve"> million</w:t>
      </w:r>
      <w:r w:rsidR="003E4B37">
        <w:t>,</w:t>
      </w:r>
      <w:r w:rsidR="00EC216C">
        <w:t xml:space="preserve"> or </w:t>
      </w:r>
      <w:r w:rsidR="00763F2D">
        <w:t>29.4%</w:t>
      </w:r>
      <w:r w:rsidR="00397016">
        <w:t>,</w:t>
      </w:r>
      <w:r w:rsidR="009E798F" w:rsidRPr="007F4C93">
        <w:t xml:space="preserve"> </w:t>
      </w:r>
      <w:r w:rsidR="004624BA" w:rsidRPr="007F4C93">
        <w:t>from</w:t>
      </w:r>
      <w:r w:rsidR="00397016">
        <w:t xml:space="preserve"> </w:t>
      </w:r>
      <w:r w:rsidR="004624BA" w:rsidRPr="007F4C93">
        <w:t>$</w:t>
      </w:r>
      <w:r w:rsidR="00C10C51">
        <w:t>10</w:t>
      </w:r>
      <w:r w:rsidR="004624BA" w:rsidRPr="007F4C93">
        <w:t>.</w:t>
      </w:r>
      <w:r w:rsidR="00C10C51">
        <w:t>1</w:t>
      </w:r>
      <w:r w:rsidR="004624BA" w:rsidRPr="007F4C93">
        <w:t xml:space="preserve"> million for the year ended August 31, 201</w:t>
      </w:r>
      <w:r w:rsidR="005F476C">
        <w:t>5</w:t>
      </w:r>
      <w:r w:rsidR="004624BA" w:rsidRPr="007F4C93">
        <w:t xml:space="preserve"> </w:t>
      </w:r>
      <w:r w:rsidR="009E798F" w:rsidRPr="007F4C93">
        <w:t>to $</w:t>
      </w:r>
      <w:r w:rsidR="00763F2D">
        <w:t xml:space="preserve"> 13</w:t>
      </w:r>
      <w:r w:rsidR="009E798F" w:rsidRPr="007F4C93">
        <w:t xml:space="preserve"> million</w:t>
      </w:r>
      <w:r w:rsidR="00BF7731">
        <w:t xml:space="preserve"> </w:t>
      </w:r>
      <w:r w:rsidR="004624BA">
        <w:t>for the year ended August 31, 201</w:t>
      </w:r>
      <w:r w:rsidR="005F476C">
        <w:t>6</w:t>
      </w:r>
      <w:r w:rsidR="00BA2A96">
        <w:t>.</w:t>
      </w:r>
      <w:r w:rsidR="00615F4E">
        <w:t xml:space="preserve"> The increase included </w:t>
      </w:r>
      <w:r w:rsidR="00312AD9">
        <w:t>$770</w:t>
      </w:r>
      <w:r w:rsidR="00BF7731">
        <w:t>,000</w:t>
      </w:r>
      <w:r w:rsidR="00312AD9">
        <w:t xml:space="preserve"> for IT, HR, and Business Services;</w:t>
      </w:r>
      <w:r w:rsidR="00397016" w:rsidRPr="00397016">
        <w:t xml:space="preserve"> </w:t>
      </w:r>
      <w:r w:rsidR="00397016">
        <w:t>$755</w:t>
      </w:r>
      <w:r w:rsidR="00BF7731">
        <w:t>,000</w:t>
      </w:r>
      <w:r w:rsidR="00397016">
        <w:t xml:space="preserve"> for Advancement, Community Relations, and the Capital Campaign;</w:t>
      </w:r>
      <w:r w:rsidR="00397016" w:rsidRPr="00397016">
        <w:t xml:space="preserve"> </w:t>
      </w:r>
      <w:r w:rsidR="00397016">
        <w:t>$500</w:t>
      </w:r>
      <w:r w:rsidR="00BF7731">
        <w:t>,000</w:t>
      </w:r>
      <w:r w:rsidR="00397016">
        <w:t xml:space="preserve"> for employee benefits;</w:t>
      </w:r>
      <w:r w:rsidR="00312AD9">
        <w:t xml:space="preserve"> $150</w:t>
      </w:r>
      <w:r w:rsidR="00BF7731">
        <w:t>,000</w:t>
      </w:r>
      <w:r w:rsidR="00312AD9">
        <w:t xml:space="preserve"> for credit card charges; and $</w:t>
      </w:r>
      <w:r w:rsidR="00EC216C">
        <w:t>5</w:t>
      </w:r>
      <w:r w:rsidR="00397016">
        <w:t>00</w:t>
      </w:r>
      <w:r w:rsidR="00BF7731">
        <w:t>,000</w:t>
      </w:r>
      <w:r w:rsidR="00397016">
        <w:t xml:space="preserve"> </w:t>
      </w:r>
      <w:r w:rsidR="00312AD9">
        <w:t>in other miscellaneous increases.</w:t>
      </w:r>
    </w:p>
    <w:p w:rsidR="003A6212" w:rsidRPr="0082604B" w:rsidRDefault="002C001B" w:rsidP="006F5D29">
      <w:pPr>
        <w:pStyle w:val="ListParagraph"/>
        <w:numPr>
          <w:ilvl w:val="1"/>
          <w:numId w:val="11"/>
        </w:numPr>
        <w:spacing w:line="360" w:lineRule="auto"/>
      </w:pPr>
      <w:r w:rsidRPr="0082604B">
        <w:t>O</w:t>
      </w:r>
      <w:r w:rsidR="000D74D5" w:rsidRPr="0082604B">
        <w:t>perations &amp; Maintenance</w:t>
      </w:r>
      <w:r w:rsidRPr="0082604B">
        <w:t xml:space="preserve"> of Plant</w:t>
      </w:r>
      <w:r w:rsidR="000D74D5" w:rsidRPr="0082604B">
        <w:t xml:space="preserve"> </w:t>
      </w:r>
      <w:r w:rsidR="004C4AE4" w:rsidRPr="0082604B">
        <w:t>was relatively unchanged at $15.4 million for the year ended August 31, 2016.</w:t>
      </w:r>
      <w:r w:rsidR="00763F2D" w:rsidRPr="0082604B">
        <w:t xml:space="preserve">  A 2.5% ($172</w:t>
      </w:r>
      <w:r w:rsidR="00BF7731">
        <w:t>,000</w:t>
      </w:r>
      <w:r w:rsidR="00763F2D" w:rsidRPr="0082604B">
        <w:t>) increase in the facility outsourcing contract was offset by lower fixed plant costs (down $153</w:t>
      </w:r>
      <w:r w:rsidR="00BF7731">
        <w:t>,000</w:t>
      </w:r>
      <w:r w:rsidR="00763F2D" w:rsidRPr="0082604B">
        <w:t xml:space="preserve"> from 2015).</w:t>
      </w:r>
    </w:p>
    <w:p w:rsidR="000D74D5" w:rsidRPr="003A6212" w:rsidRDefault="002C001B" w:rsidP="006F5D29">
      <w:pPr>
        <w:pStyle w:val="ListParagraph"/>
        <w:numPr>
          <w:ilvl w:val="1"/>
          <w:numId w:val="11"/>
        </w:numPr>
        <w:spacing w:line="360" w:lineRule="auto"/>
      </w:pPr>
      <w:r>
        <w:t>Scholarship</w:t>
      </w:r>
      <w:r w:rsidR="000D74D5">
        <w:t xml:space="preserve"> expense decreased </w:t>
      </w:r>
      <w:r>
        <w:t>$</w:t>
      </w:r>
      <w:r w:rsidR="003E2AE0">
        <w:t>0</w:t>
      </w:r>
      <w:r>
        <w:t>.</w:t>
      </w:r>
      <w:r w:rsidR="003E2AE0">
        <w:t>8</w:t>
      </w:r>
      <w:r>
        <w:t xml:space="preserve"> million</w:t>
      </w:r>
      <w:r w:rsidR="003E4B37">
        <w:t>,</w:t>
      </w:r>
      <w:r w:rsidR="00942617">
        <w:t xml:space="preserve"> </w:t>
      </w:r>
      <w:r w:rsidR="009E798F">
        <w:t xml:space="preserve">or </w:t>
      </w:r>
      <w:r w:rsidR="003E2AE0">
        <w:t>5</w:t>
      </w:r>
      <w:r w:rsidR="009E798F">
        <w:t>.</w:t>
      </w:r>
      <w:r w:rsidR="00C10C51">
        <w:t>9</w:t>
      </w:r>
      <w:r w:rsidR="009E798F">
        <w:t>%</w:t>
      </w:r>
      <w:r w:rsidR="003E4B37">
        <w:t>,</w:t>
      </w:r>
      <w:r w:rsidR="009E798F">
        <w:t xml:space="preserve"> </w:t>
      </w:r>
      <w:r w:rsidR="00053F44">
        <w:t>from $1</w:t>
      </w:r>
      <w:r w:rsidR="00C10C51">
        <w:t>4</w:t>
      </w:r>
      <w:r w:rsidR="00053F44">
        <w:t>.</w:t>
      </w:r>
      <w:r w:rsidR="00C10C51">
        <w:t>3</w:t>
      </w:r>
      <w:r w:rsidR="00053F44">
        <w:t xml:space="preserve"> million for the year ended August 31, 201</w:t>
      </w:r>
      <w:r w:rsidR="005F476C">
        <w:t>5</w:t>
      </w:r>
      <w:r w:rsidR="00053F44">
        <w:t xml:space="preserve"> </w:t>
      </w:r>
      <w:r w:rsidR="009E798F">
        <w:t>to $1</w:t>
      </w:r>
      <w:r w:rsidR="00C10C51">
        <w:t>3</w:t>
      </w:r>
      <w:r w:rsidR="009E798F">
        <w:t>.</w:t>
      </w:r>
      <w:r w:rsidR="00C10C51">
        <w:t>5</w:t>
      </w:r>
      <w:r w:rsidR="009E798F">
        <w:t xml:space="preserve"> million </w:t>
      </w:r>
      <w:r w:rsidR="00053F44">
        <w:t>for the year ended August 31, 201</w:t>
      </w:r>
      <w:r w:rsidR="005F476C">
        <w:t>6</w:t>
      </w:r>
      <w:r w:rsidR="004C4AE4">
        <w:t>.</w:t>
      </w:r>
    </w:p>
    <w:p w:rsidR="000D74D5" w:rsidRDefault="002C001B" w:rsidP="006F5D29">
      <w:pPr>
        <w:pStyle w:val="ListParagraph"/>
        <w:numPr>
          <w:ilvl w:val="1"/>
          <w:numId w:val="11"/>
        </w:numPr>
        <w:spacing w:line="360" w:lineRule="auto"/>
      </w:pPr>
      <w:r>
        <w:t>Auxiliary</w:t>
      </w:r>
      <w:r w:rsidR="000D74D5">
        <w:t xml:space="preserve"> expense increased </w:t>
      </w:r>
      <w:r w:rsidR="00E36D8A">
        <w:t>$</w:t>
      </w:r>
      <w:r w:rsidR="00CD02F0">
        <w:t>2</w:t>
      </w:r>
      <w:r w:rsidR="00053F44">
        <w:t>.</w:t>
      </w:r>
      <w:r w:rsidR="00CD02F0">
        <w:t>9</w:t>
      </w:r>
      <w:r w:rsidR="00B2077E">
        <w:t xml:space="preserve"> million</w:t>
      </w:r>
      <w:r w:rsidR="003E4B37">
        <w:t>,</w:t>
      </w:r>
      <w:r w:rsidR="009E798F">
        <w:t xml:space="preserve"> or </w:t>
      </w:r>
      <w:r w:rsidR="00CD02F0">
        <w:t>10</w:t>
      </w:r>
      <w:r w:rsidR="00053F44">
        <w:t>.</w:t>
      </w:r>
      <w:r w:rsidR="00763F2D">
        <w:t>2</w:t>
      </w:r>
      <w:r w:rsidR="009E798F">
        <w:t>%</w:t>
      </w:r>
      <w:r w:rsidR="003E4B37">
        <w:t>,</w:t>
      </w:r>
      <w:r w:rsidR="009E798F">
        <w:t xml:space="preserve"> </w:t>
      </w:r>
      <w:r w:rsidR="00053F44">
        <w:t>from $</w:t>
      </w:r>
      <w:r w:rsidR="003E2AE0">
        <w:t>2</w:t>
      </w:r>
      <w:r w:rsidR="004A6347">
        <w:t>8</w:t>
      </w:r>
      <w:r w:rsidR="003E2AE0">
        <w:t>.</w:t>
      </w:r>
      <w:r w:rsidR="004A6347">
        <w:t>6</w:t>
      </w:r>
      <w:r w:rsidR="00053F44">
        <w:t xml:space="preserve"> million for the year ended August 31, 201</w:t>
      </w:r>
      <w:r w:rsidR="005F476C">
        <w:t>5</w:t>
      </w:r>
      <w:r w:rsidR="00053F44">
        <w:t xml:space="preserve"> to $</w:t>
      </w:r>
      <w:r w:rsidR="004A6347">
        <w:t>31</w:t>
      </w:r>
      <w:r w:rsidR="00053F44">
        <w:t>.</w:t>
      </w:r>
      <w:r w:rsidR="004A6347">
        <w:t>5</w:t>
      </w:r>
      <w:r w:rsidR="009E798F">
        <w:t xml:space="preserve"> million</w:t>
      </w:r>
      <w:r w:rsidR="00053F44">
        <w:t xml:space="preserve"> for the year ended August 31, 201</w:t>
      </w:r>
      <w:r w:rsidR="005F476C">
        <w:t>6</w:t>
      </w:r>
      <w:r w:rsidR="00053F44">
        <w:t>.</w:t>
      </w:r>
    </w:p>
    <w:p w:rsidR="002C5711" w:rsidRDefault="002C001B" w:rsidP="006F5D29">
      <w:pPr>
        <w:pStyle w:val="ListParagraph"/>
        <w:numPr>
          <w:ilvl w:val="1"/>
          <w:numId w:val="11"/>
        </w:numPr>
        <w:spacing w:line="360" w:lineRule="auto"/>
      </w:pPr>
      <w:r>
        <w:t>Depreciation</w:t>
      </w:r>
      <w:r w:rsidR="000D74D5">
        <w:t xml:space="preserve"> expense increased </w:t>
      </w:r>
      <w:r>
        <w:t>$0.</w:t>
      </w:r>
      <w:r w:rsidR="003A6212">
        <w:t>6</w:t>
      </w:r>
      <w:r w:rsidR="00B2077E" w:rsidRPr="00E36D8A">
        <w:t xml:space="preserve"> million</w:t>
      </w:r>
      <w:r w:rsidR="002C5711">
        <w:t>,</w:t>
      </w:r>
      <w:r w:rsidR="00F0357C">
        <w:t xml:space="preserve"> or </w:t>
      </w:r>
      <w:r w:rsidR="004A6347">
        <w:t>4</w:t>
      </w:r>
      <w:r w:rsidR="00F0357C">
        <w:t>.</w:t>
      </w:r>
      <w:r w:rsidR="004A6347">
        <w:t>8</w:t>
      </w:r>
      <w:r w:rsidR="009E798F">
        <w:t>%</w:t>
      </w:r>
      <w:r w:rsidR="002C5711">
        <w:t>,</w:t>
      </w:r>
      <w:r w:rsidR="009E798F">
        <w:t xml:space="preserve"> </w:t>
      </w:r>
      <w:r w:rsidR="00053F44">
        <w:t>from $</w:t>
      </w:r>
      <w:r w:rsidR="004A6347">
        <w:t>12</w:t>
      </w:r>
      <w:r w:rsidR="00053F44">
        <w:t>.</w:t>
      </w:r>
      <w:r w:rsidR="004A6347">
        <w:t>1</w:t>
      </w:r>
      <w:r w:rsidR="00053F44">
        <w:t xml:space="preserve"> million to $1</w:t>
      </w:r>
      <w:r w:rsidR="003E2AE0">
        <w:t>2</w:t>
      </w:r>
      <w:r w:rsidR="00053F44">
        <w:t>.</w:t>
      </w:r>
      <w:r w:rsidR="004A6347">
        <w:t>6</w:t>
      </w:r>
      <w:r w:rsidR="00053F44">
        <w:t xml:space="preserve"> </w:t>
      </w:r>
      <w:r w:rsidR="009E798F">
        <w:t>million.</w:t>
      </w:r>
    </w:p>
    <w:p w:rsidR="009E798F" w:rsidRDefault="00402EFD" w:rsidP="006F5D29">
      <w:pPr>
        <w:pStyle w:val="ListParagraph"/>
        <w:numPr>
          <w:ilvl w:val="0"/>
          <w:numId w:val="1"/>
        </w:numPr>
        <w:spacing w:line="360" w:lineRule="auto"/>
      </w:pPr>
      <w:r>
        <w:t>Non-Operating Revenue</w:t>
      </w:r>
      <w:r w:rsidR="00FF12E3">
        <w:t>s and Expenses</w:t>
      </w:r>
      <w:r>
        <w:t>, which includes state appropriations and investment income</w:t>
      </w:r>
      <w:r w:rsidR="00FF12E3">
        <w:t>,</w:t>
      </w:r>
      <w:r>
        <w:t xml:space="preserve"> increased</w:t>
      </w:r>
      <w:r w:rsidR="00FF12E3">
        <w:t xml:space="preserve"> $12.9 million, or</w:t>
      </w:r>
      <w:r>
        <w:t xml:space="preserve"> 22.11%</w:t>
      </w:r>
      <w:r w:rsidR="00FF12E3">
        <w:t>,</w:t>
      </w:r>
      <w:r>
        <w:t xml:space="preserve"> from $58.6 million in fiscal year 2015 to $71.5 million in fiscal year 2016.</w:t>
      </w:r>
    </w:p>
    <w:p w:rsidR="002C5711" w:rsidRPr="00B51F8E" w:rsidRDefault="002C5711" w:rsidP="002C5711">
      <w:pPr>
        <w:pStyle w:val="ListParagraph"/>
        <w:numPr>
          <w:ilvl w:val="0"/>
          <w:numId w:val="14"/>
        </w:numPr>
        <w:spacing w:line="360" w:lineRule="auto"/>
      </w:pPr>
      <w:r w:rsidRPr="00B51F8E">
        <w:t>State appropriation income increased $3.9 million</w:t>
      </w:r>
      <w:r w:rsidR="003E4B37">
        <w:t>,</w:t>
      </w:r>
      <w:r w:rsidRPr="00B51F8E">
        <w:t xml:space="preserve"> or 9%</w:t>
      </w:r>
      <w:r w:rsidR="003E4B37">
        <w:t>,</w:t>
      </w:r>
      <w:r w:rsidRPr="00B51F8E">
        <w:t xml:space="preserve"> from $43.2 million for the year ended August 31, 2015 to $47.1 million for the year ended August 31, 2016 due to the</w:t>
      </w:r>
      <w:r w:rsidR="00202568">
        <w:t xml:space="preserve"> State</w:t>
      </w:r>
      <w:r w:rsidRPr="00B51F8E">
        <w:t xml:space="preserve"> reallocation of formula funding and an increased benefit reimbursement. </w:t>
      </w:r>
    </w:p>
    <w:p w:rsidR="002C5711" w:rsidRPr="00B51F8E" w:rsidRDefault="002C5711" w:rsidP="002C5711">
      <w:pPr>
        <w:pStyle w:val="ListParagraph"/>
        <w:numPr>
          <w:ilvl w:val="0"/>
          <w:numId w:val="14"/>
        </w:numPr>
        <w:spacing w:line="360" w:lineRule="auto"/>
      </w:pPr>
      <w:r w:rsidRPr="00B51F8E">
        <w:t xml:space="preserve">Expendable gift revenues increased </w:t>
      </w:r>
      <w:r w:rsidR="00763F2D">
        <w:t>4</w:t>
      </w:r>
      <w:r w:rsidRPr="00B51F8E">
        <w:t xml:space="preserve">% from $1.4 million for the year ended August 31, 2015 to $1.5 million for the year ended August 31, 2016. </w:t>
      </w:r>
    </w:p>
    <w:p w:rsidR="002C5711" w:rsidRDefault="002C5711" w:rsidP="002C5711">
      <w:pPr>
        <w:pStyle w:val="ListParagraph"/>
        <w:numPr>
          <w:ilvl w:val="0"/>
          <w:numId w:val="14"/>
        </w:numPr>
        <w:spacing w:line="360" w:lineRule="auto"/>
      </w:pPr>
      <w:r w:rsidRPr="00B51F8E">
        <w:t xml:space="preserve">Investment gains, net of investment expense, increased $6.6 million from </w:t>
      </w:r>
      <w:r w:rsidR="00202568">
        <w:t xml:space="preserve">a loss of </w:t>
      </w:r>
      <w:r w:rsidRPr="00B51F8E">
        <w:t xml:space="preserve">$1.3 million for the year ended August 31, 2015 to $5.3 million for the year ended August 31, 2016. </w:t>
      </w:r>
    </w:p>
    <w:p w:rsidR="002C5711" w:rsidRPr="00B51F8E" w:rsidRDefault="002C5711" w:rsidP="002C5711">
      <w:pPr>
        <w:pStyle w:val="ListParagraph"/>
        <w:numPr>
          <w:ilvl w:val="0"/>
          <w:numId w:val="14"/>
        </w:numPr>
        <w:spacing w:line="360" w:lineRule="auto"/>
      </w:pPr>
      <w:r>
        <w:t>Changes in Other Nonoperating Revenue and Expenses increased the Total Non</w:t>
      </w:r>
      <w:r w:rsidR="00FF12E3">
        <w:t>-Operating</w:t>
      </w:r>
      <w:r>
        <w:t xml:space="preserve"> Revenue by $1.8 million for the year ended August 31, 2016.</w:t>
      </w:r>
    </w:p>
    <w:p w:rsidR="002C5711" w:rsidRDefault="002C5711" w:rsidP="006F5D29">
      <w:pPr>
        <w:pStyle w:val="ListParagraph"/>
        <w:numPr>
          <w:ilvl w:val="0"/>
          <w:numId w:val="14"/>
        </w:numPr>
        <w:spacing w:line="360" w:lineRule="auto"/>
      </w:pPr>
      <w:r w:rsidRPr="00B51F8E">
        <w:t>Non-Operating revenues from grants and contracts increased</w:t>
      </w:r>
      <w:r w:rsidR="00FF12E3">
        <w:t xml:space="preserve"> $700,000, or</w:t>
      </w:r>
      <w:r w:rsidRPr="00B51F8E">
        <w:t xml:space="preserve"> 3.7%</w:t>
      </w:r>
      <w:r w:rsidR="00FF12E3">
        <w:t>,</w:t>
      </w:r>
      <w:r w:rsidRPr="00B51F8E">
        <w:t xml:space="preserve"> from $17.8 million in fiscal year 2015 to $18.5 million in fiscal year 2016.  This category consists solely of revenue from the federal </w:t>
      </w:r>
      <w:r>
        <w:t>P</w:t>
      </w:r>
      <w:r w:rsidRPr="00B51F8E">
        <w:t>ell grant program.</w:t>
      </w:r>
    </w:p>
    <w:p w:rsidR="00B008FA" w:rsidRDefault="000A6837" w:rsidP="0082116D">
      <w:pPr>
        <w:pStyle w:val="ListParagraph"/>
        <w:numPr>
          <w:ilvl w:val="0"/>
          <w:numId w:val="4"/>
        </w:numPr>
        <w:spacing w:line="360" w:lineRule="auto"/>
      </w:pPr>
      <w:r>
        <w:t xml:space="preserve">Other </w:t>
      </w:r>
      <w:r w:rsidR="00202568">
        <w:t>R</w:t>
      </w:r>
      <w:r>
        <w:t>evenues</w:t>
      </w:r>
      <w:r w:rsidR="00202568">
        <w:t xml:space="preserve"> </w:t>
      </w:r>
      <w:r>
        <w:t xml:space="preserve">and </w:t>
      </w:r>
      <w:r w:rsidR="00202568">
        <w:t>T</w:t>
      </w:r>
      <w:r>
        <w:t>ransfers decreased $</w:t>
      </w:r>
      <w:r w:rsidR="003A6212">
        <w:t>12.4</w:t>
      </w:r>
      <w:r>
        <w:t xml:space="preserve"> million</w:t>
      </w:r>
      <w:r w:rsidR="00FF12E3">
        <w:t xml:space="preserve"> </w:t>
      </w:r>
      <w:r w:rsidR="00B56363">
        <w:t>from $</w:t>
      </w:r>
      <w:r w:rsidR="003A6212">
        <w:t>2.6</w:t>
      </w:r>
      <w:r w:rsidR="00B56363">
        <w:t xml:space="preserve"> million for the year ended August 31, 201</w:t>
      </w:r>
      <w:r w:rsidR="005F476C">
        <w:t>5</w:t>
      </w:r>
      <w:r w:rsidR="00B56363">
        <w:t xml:space="preserve"> </w:t>
      </w:r>
      <w:r w:rsidR="003A6212">
        <w:t xml:space="preserve">to </w:t>
      </w:r>
      <w:r w:rsidR="00202568">
        <w:t xml:space="preserve">a loss of </w:t>
      </w:r>
      <w:r w:rsidR="003A6212">
        <w:t>$9.8</w:t>
      </w:r>
      <w:r>
        <w:t xml:space="preserve"> million for the year ended August 31, 201</w:t>
      </w:r>
      <w:r w:rsidR="005F476C">
        <w:t>6</w:t>
      </w:r>
      <w:r>
        <w:t>.  The de</w:t>
      </w:r>
      <w:r w:rsidR="00B008FA">
        <w:t>crease was due to the following</w:t>
      </w:r>
    </w:p>
    <w:p w:rsidR="003A6212" w:rsidRPr="003A6212" w:rsidRDefault="003A6212" w:rsidP="00B008FA">
      <w:pPr>
        <w:pStyle w:val="ListParagraph"/>
        <w:numPr>
          <w:ilvl w:val="1"/>
          <w:numId w:val="4"/>
        </w:numPr>
        <w:spacing w:line="360" w:lineRule="auto"/>
      </w:pPr>
      <w:r>
        <w:t>Capital contributions decreased $.5 million</w:t>
      </w:r>
      <w:r w:rsidR="00202568">
        <w:t>,</w:t>
      </w:r>
      <w:r>
        <w:t xml:space="preserve"> or 95%</w:t>
      </w:r>
      <w:r w:rsidR="00202568">
        <w:t>,</w:t>
      </w:r>
      <w:r>
        <w:t xml:space="preserve"> from $.5 million in fiscal year 2015 to $22</w:t>
      </w:r>
      <w:r w:rsidR="00AA3516">
        <w:t>,000</w:t>
      </w:r>
      <w:r>
        <w:t xml:space="preserve"> in fiscal year 2016.</w:t>
      </w:r>
    </w:p>
    <w:p w:rsidR="000A6837" w:rsidRPr="000A6837" w:rsidRDefault="000A6837" w:rsidP="00B008FA">
      <w:pPr>
        <w:pStyle w:val="ListParagraph"/>
        <w:numPr>
          <w:ilvl w:val="1"/>
          <w:numId w:val="4"/>
        </w:numPr>
        <w:spacing w:line="360" w:lineRule="auto"/>
      </w:pPr>
      <w:r>
        <w:t>Additions to permanent endowments decreased $</w:t>
      </w:r>
      <w:r w:rsidR="00A4539B">
        <w:t>0</w:t>
      </w:r>
      <w:r>
        <w:t>.</w:t>
      </w:r>
      <w:r w:rsidR="00A4539B">
        <w:t>7</w:t>
      </w:r>
      <w:r>
        <w:t xml:space="preserve"> million</w:t>
      </w:r>
      <w:r w:rsidR="00202568">
        <w:t>,</w:t>
      </w:r>
      <w:r>
        <w:t xml:space="preserve"> or </w:t>
      </w:r>
      <w:r w:rsidR="00A4539B">
        <w:t>58.9</w:t>
      </w:r>
      <w:r>
        <w:t>%</w:t>
      </w:r>
      <w:r w:rsidR="00202568">
        <w:t>,</w:t>
      </w:r>
      <w:r>
        <w:t xml:space="preserve"> to $</w:t>
      </w:r>
      <w:r w:rsidR="00A4539B">
        <w:t>0</w:t>
      </w:r>
      <w:r>
        <w:t>.</w:t>
      </w:r>
      <w:r w:rsidR="00A4539B">
        <w:t>5</w:t>
      </w:r>
      <w:r>
        <w:t xml:space="preserve"> million.  </w:t>
      </w:r>
    </w:p>
    <w:p w:rsidR="00564EDE" w:rsidRPr="001A2CA5" w:rsidRDefault="000A6837" w:rsidP="00B008FA">
      <w:pPr>
        <w:pStyle w:val="ListParagraph"/>
        <w:numPr>
          <w:ilvl w:val="1"/>
          <w:numId w:val="4"/>
        </w:numPr>
        <w:spacing w:line="360" w:lineRule="auto"/>
        <w:rPr>
          <w:b/>
          <w:u w:val="single"/>
        </w:rPr>
      </w:pPr>
      <w:r w:rsidRPr="001A2CA5">
        <w:t xml:space="preserve">Transfers from other agencies </w:t>
      </w:r>
      <w:r w:rsidR="005C4D39" w:rsidRPr="001A2CA5">
        <w:t>de</w:t>
      </w:r>
      <w:r w:rsidRPr="001A2CA5">
        <w:t>creased $</w:t>
      </w:r>
      <w:r w:rsidR="001A2CA5">
        <w:t>6.2</w:t>
      </w:r>
      <w:r w:rsidRPr="001A2CA5">
        <w:t xml:space="preserve"> million</w:t>
      </w:r>
      <w:r w:rsidR="00202568">
        <w:t>,</w:t>
      </w:r>
      <w:r w:rsidRPr="001A2CA5">
        <w:t xml:space="preserve"> or </w:t>
      </w:r>
      <w:r w:rsidR="001A2CA5">
        <w:t>48.5</w:t>
      </w:r>
      <w:r w:rsidRPr="001A2CA5">
        <w:t>%</w:t>
      </w:r>
      <w:r w:rsidR="00202568">
        <w:t>,</w:t>
      </w:r>
      <w:r w:rsidRPr="001A2CA5">
        <w:t xml:space="preserve"> to $</w:t>
      </w:r>
      <w:r w:rsidR="00763F2D">
        <w:t>6.6</w:t>
      </w:r>
      <w:r w:rsidRPr="001A2CA5">
        <w:t xml:space="preserve"> million.  Several older capital projects were closed by the System and transferred to </w:t>
      </w:r>
      <w:r w:rsidR="00202568">
        <w:t>University</w:t>
      </w:r>
      <w:r w:rsidRPr="001A2CA5">
        <w:t xml:space="preserve"> books during fiscal year 201</w:t>
      </w:r>
      <w:r w:rsidR="005F476C" w:rsidRPr="001A2CA5">
        <w:t>5</w:t>
      </w:r>
      <w:r w:rsidRPr="001A2CA5">
        <w:t>.</w:t>
      </w:r>
      <w:r w:rsidR="001A2CA5">
        <w:t xml:space="preserve">  This was one-time activity that was not repeated in fiscal year 2016.</w:t>
      </w:r>
    </w:p>
    <w:p w:rsidR="0039772A" w:rsidRPr="001A2CA5" w:rsidRDefault="0039772A" w:rsidP="00B008FA">
      <w:pPr>
        <w:pStyle w:val="ListParagraph"/>
        <w:numPr>
          <w:ilvl w:val="1"/>
          <w:numId w:val="4"/>
        </w:numPr>
        <w:spacing w:line="360" w:lineRule="auto"/>
        <w:rPr>
          <w:b/>
          <w:u w:val="single"/>
        </w:rPr>
      </w:pPr>
      <w:r w:rsidRPr="001A2CA5">
        <w:t xml:space="preserve">Transfers to other agencies increased </w:t>
      </w:r>
      <w:r w:rsidR="001A2CA5">
        <w:t>$5.3 million</w:t>
      </w:r>
      <w:r w:rsidR="00202568">
        <w:t>,</w:t>
      </w:r>
      <w:r w:rsidR="001A2CA5">
        <w:t xml:space="preserve"> or 75.86%</w:t>
      </w:r>
      <w:r w:rsidR="00202568">
        <w:t>,</w:t>
      </w:r>
      <w:r w:rsidR="001A2CA5">
        <w:t xml:space="preserve"> to 12.3 million.  This was primarily due to </w:t>
      </w:r>
      <w:r w:rsidR="00EC35F4">
        <w:t>a one-time</w:t>
      </w:r>
      <w:r w:rsidR="001A2CA5">
        <w:t xml:space="preserve"> advancement of funding for the Applied Sciences Building, which will be </w:t>
      </w:r>
      <w:r w:rsidR="00EC35F4">
        <w:t>reversed</w:t>
      </w:r>
      <w:r w:rsidR="001A2CA5">
        <w:t xml:space="preserve"> by Tuition Revenue Bond proceeds in fiscal year 2017.</w:t>
      </w:r>
    </w:p>
    <w:p w:rsidR="001A2CA5" w:rsidRPr="00397016" w:rsidRDefault="001A2CA5" w:rsidP="00B008FA">
      <w:pPr>
        <w:pStyle w:val="ListParagraph"/>
        <w:numPr>
          <w:ilvl w:val="1"/>
          <w:numId w:val="4"/>
        </w:numPr>
        <w:spacing w:line="360" w:lineRule="auto"/>
        <w:rPr>
          <w:b/>
          <w:u w:val="single"/>
        </w:rPr>
      </w:pPr>
      <w:r>
        <w:t>Net legislative transfers decreased $.3 million due to a change in funding method for the Hazelwood supplement received from the Texas Veterans Commission.</w:t>
      </w:r>
    </w:p>
    <w:p w:rsidR="00A3494D" w:rsidRDefault="00A3494D" w:rsidP="00397016">
      <w:pPr>
        <w:spacing w:line="360" w:lineRule="auto"/>
        <w:rPr>
          <w:b/>
          <w:u w:val="single"/>
        </w:rPr>
      </w:pPr>
    </w:p>
    <w:p w:rsidR="00397016" w:rsidRPr="005C3433" w:rsidRDefault="00AC5229" w:rsidP="00B008FA">
      <w:pPr>
        <w:spacing w:line="360" w:lineRule="auto"/>
        <w:jc w:val="center"/>
        <w:rPr>
          <w:u w:val="single"/>
        </w:rPr>
      </w:pPr>
      <w:r w:rsidRPr="005C3433">
        <w:rPr>
          <w:u w:val="single"/>
        </w:rPr>
        <w:t>Summary Note</w:t>
      </w:r>
    </w:p>
    <w:p w:rsidR="00A3494D" w:rsidRPr="00397016" w:rsidRDefault="00A3494D" w:rsidP="00397016">
      <w:pPr>
        <w:spacing w:line="360" w:lineRule="auto"/>
      </w:pPr>
      <w:r w:rsidRPr="00397016">
        <w:t>Although healthy increases in tuition and state appropriation were realized in fiscal year 2016 over 2015, increased costs in response to expanding enrollment</w:t>
      </w:r>
      <w:r w:rsidR="005C3433">
        <w:t xml:space="preserve"> and overhead support</w:t>
      </w:r>
      <w:r w:rsidRPr="00397016">
        <w:t xml:space="preserve"> resulted in a net operating gain of only </w:t>
      </w:r>
      <w:r w:rsidR="00AC5229" w:rsidRPr="00397016">
        <w:t>$1 million for th</w:t>
      </w:r>
      <w:r w:rsidRPr="00397016">
        <w:t>e year when adjusted for</w:t>
      </w:r>
      <w:r w:rsidR="00AC5229" w:rsidRPr="00397016">
        <w:t xml:space="preserve"> nonoperating</w:t>
      </w:r>
      <w:r w:rsidRPr="00397016">
        <w:t xml:space="preserve"> </w:t>
      </w:r>
      <w:r w:rsidR="00AC5229" w:rsidRPr="00397016">
        <w:t>investment</w:t>
      </w:r>
      <w:r w:rsidRPr="00397016">
        <w:t xml:space="preserve"> </w:t>
      </w:r>
      <w:r w:rsidR="00AC5229" w:rsidRPr="00397016">
        <w:t xml:space="preserve">and gift </w:t>
      </w:r>
      <w:r w:rsidRPr="00397016">
        <w:t xml:space="preserve">activity. </w:t>
      </w:r>
      <w:r w:rsidR="00AC5229" w:rsidRPr="00397016">
        <w:t xml:space="preserve"> </w:t>
      </w:r>
      <w:r w:rsidR="00EC35F4" w:rsidRPr="00B008FA">
        <w:t xml:space="preserve">The total </w:t>
      </w:r>
      <w:r w:rsidR="002327EE" w:rsidRPr="00B008FA">
        <w:t xml:space="preserve">revenue </w:t>
      </w:r>
      <w:r w:rsidR="00EC35F4" w:rsidRPr="00B008FA">
        <w:t xml:space="preserve">increase </w:t>
      </w:r>
      <w:r w:rsidR="00B008FA" w:rsidRPr="00B008FA">
        <w:t xml:space="preserve">was $372 </w:t>
      </w:r>
      <w:r w:rsidR="00EC35F4" w:rsidRPr="00B008FA">
        <w:t xml:space="preserve">per full-time student while total operating expense </w:t>
      </w:r>
      <w:r w:rsidR="002327EE" w:rsidRPr="00B008FA">
        <w:t xml:space="preserve">increase </w:t>
      </w:r>
      <w:r w:rsidR="00B008FA" w:rsidRPr="00B008FA">
        <w:t>was $58</w:t>
      </w:r>
      <w:r w:rsidR="00B008FA">
        <w:t xml:space="preserve">4 </w:t>
      </w:r>
      <w:r w:rsidR="00EC35F4" w:rsidRPr="00B008FA">
        <w:t>per full-time student</w:t>
      </w:r>
      <w:r w:rsidR="00B008FA">
        <w:t>.</w:t>
      </w:r>
      <w:r w:rsidR="00EC35F4" w:rsidRPr="00B008FA">
        <w:t xml:space="preserve"> </w:t>
      </w:r>
    </w:p>
    <w:p w:rsidR="007C4FB8" w:rsidRDefault="007C4FB8" w:rsidP="007C4FB8">
      <w:pPr>
        <w:spacing w:line="360" w:lineRule="auto"/>
      </w:pPr>
    </w:p>
    <w:p w:rsidR="001A294F" w:rsidRDefault="001A294F" w:rsidP="001A294F">
      <w:pPr>
        <w:spacing w:line="360" w:lineRule="auto"/>
        <w:jc w:val="center"/>
        <w:rPr>
          <w:u w:val="single"/>
        </w:rPr>
      </w:pPr>
      <w:r>
        <w:rPr>
          <w:u w:val="single"/>
        </w:rPr>
        <w:t>NACUBO Function to Natural Classification Matrix</w:t>
      </w:r>
    </w:p>
    <w:p w:rsidR="001A294F" w:rsidRDefault="001A294F" w:rsidP="001A294F">
      <w:pPr>
        <w:spacing w:line="360" w:lineRule="auto"/>
      </w:pPr>
      <w:r>
        <w:t>The NACUBO Function to Natural Classification Matrix (IV-1) shows expenses in natural classification, much like you would see on a corporate income statement.  This schedule supplements the Statement of Revenue, Expenses and Changes in Net Assets, which lists expenses only by NACUBO category.</w:t>
      </w:r>
      <w:r w:rsidR="00A831FA">
        <w:t xml:space="preserve">  </w:t>
      </w:r>
      <w:r w:rsidR="0041172E">
        <w:t>A summary of major c</w:t>
      </w:r>
      <w:r w:rsidR="00A831FA">
        <w:t>hanges by natural classification</w:t>
      </w:r>
      <w:r>
        <w:t xml:space="preserve"> for fiscal year 2016 are as follows:</w:t>
      </w:r>
    </w:p>
    <w:p w:rsidR="001A294F" w:rsidRDefault="00A831FA" w:rsidP="001A294F">
      <w:pPr>
        <w:pStyle w:val="ListParagraph"/>
        <w:numPr>
          <w:ilvl w:val="0"/>
          <w:numId w:val="10"/>
        </w:numPr>
        <w:spacing w:line="360" w:lineRule="auto"/>
      </w:pPr>
      <w:r>
        <w:t>Salaries &amp; Wages increased $5.4 million or 8.18%.</w:t>
      </w:r>
    </w:p>
    <w:p w:rsidR="00A831FA" w:rsidRDefault="00A831FA" w:rsidP="001A294F">
      <w:pPr>
        <w:pStyle w:val="ListParagraph"/>
        <w:numPr>
          <w:ilvl w:val="0"/>
          <w:numId w:val="10"/>
        </w:numPr>
        <w:spacing w:line="360" w:lineRule="auto"/>
      </w:pPr>
      <w:r>
        <w:t>Payroll Related Costs increased $2 million or 10.75%.</w:t>
      </w:r>
    </w:p>
    <w:p w:rsidR="00A831FA" w:rsidRDefault="00A831FA" w:rsidP="001A294F">
      <w:pPr>
        <w:pStyle w:val="ListParagraph"/>
        <w:numPr>
          <w:ilvl w:val="0"/>
          <w:numId w:val="10"/>
        </w:numPr>
        <w:spacing w:line="360" w:lineRule="auto"/>
      </w:pPr>
      <w:r>
        <w:t>Professional Fees &amp; Services increased $4 million or 19.49%</w:t>
      </w:r>
      <w:r w:rsidR="00397016">
        <w:t xml:space="preserve"> </w:t>
      </w:r>
      <w:r w:rsidR="0041172E">
        <w:t>(</w:t>
      </w:r>
      <w:r w:rsidR="00397016">
        <w:t>mostly</w:t>
      </w:r>
      <w:r w:rsidR="0041172E">
        <w:t xml:space="preserve"> due to</w:t>
      </w:r>
      <w:r w:rsidR="00397016">
        <w:t xml:space="preserve"> non-capitalized plant expenses</w:t>
      </w:r>
      <w:r w:rsidR="0041172E">
        <w:t>)</w:t>
      </w:r>
      <w:r>
        <w:t>.</w:t>
      </w:r>
    </w:p>
    <w:p w:rsidR="00A831FA" w:rsidRDefault="00A831FA" w:rsidP="001A294F">
      <w:pPr>
        <w:pStyle w:val="ListParagraph"/>
        <w:numPr>
          <w:ilvl w:val="0"/>
          <w:numId w:val="10"/>
        </w:numPr>
        <w:spacing w:line="360" w:lineRule="auto"/>
      </w:pPr>
      <w:r>
        <w:t>Travel increased $.2 million or 7.17%.</w:t>
      </w:r>
    </w:p>
    <w:p w:rsidR="00A831FA" w:rsidRDefault="00A831FA" w:rsidP="001A294F">
      <w:pPr>
        <w:pStyle w:val="ListParagraph"/>
        <w:numPr>
          <w:ilvl w:val="0"/>
          <w:numId w:val="10"/>
        </w:numPr>
        <w:spacing w:line="360" w:lineRule="auto"/>
      </w:pPr>
      <w:r>
        <w:t>Materials &amp; Supplies increased $1.6 million or 23.34%.</w:t>
      </w:r>
    </w:p>
    <w:p w:rsidR="00A831FA" w:rsidRDefault="00A831FA" w:rsidP="001A294F">
      <w:pPr>
        <w:pStyle w:val="ListParagraph"/>
        <w:numPr>
          <w:ilvl w:val="0"/>
          <w:numId w:val="10"/>
        </w:numPr>
        <w:spacing w:line="360" w:lineRule="auto"/>
      </w:pPr>
      <w:r>
        <w:t>Communication &amp; Utilities decreased $.6 million or 9.4%.</w:t>
      </w:r>
    </w:p>
    <w:p w:rsidR="00A831FA" w:rsidRDefault="00A831FA" w:rsidP="001A294F">
      <w:pPr>
        <w:pStyle w:val="ListParagraph"/>
        <w:numPr>
          <w:ilvl w:val="0"/>
          <w:numId w:val="10"/>
        </w:numPr>
        <w:spacing w:line="360" w:lineRule="auto"/>
      </w:pPr>
      <w:r>
        <w:t>Repairs &amp; Maintenance decreased $.2 million or 8.6%.</w:t>
      </w:r>
    </w:p>
    <w:p w:rsidR="00A831FA" w:rsidRDefault="00A831FA" w:rsidP="001A294F">
      <w:pPr>
        <w:pStyle w:val="ListParagraph"/>
        <w:numPr>
          <w:ilvl w:val="0"/>
          <w:numId w:val="10"/>
        </w:numPr>
        <w:spacing w:line="360" w:lineRule="auto"/>
      </w:pPr>
      <w:r>
        <w:t>Rentals &amp; Leases decreased $.7 million or 8.7%.</w:t>
      </w:r>
    </w:p>
    <w:p w:rsidR="00A831FA" w:rsidRDefault="00A831FA" w:rsidP="001A294F">
      <w:pPr>
        <w:pStyle w:val="ListParagraph"/>
        <w:numPr>
          <w:ilvl w:val="0"/>
          <w:numId w:val="10"/>
        </w:numPr>
        <w:spacing w:line="360" w:lineRule="auto"/>
      </w:pPr>
      <w:r>
        <w:t>Printing &amp; Reproduction decreased $.1 million or 20%.</w:t>
      </w:r>
    </w:p>
    <w:p w:rsidR="00A831FA" w:rsidRDefault="00A831FA" w:rsidP="00A831FA">
      <w:pPr>
        <w:pStyle w:val="ListParagraph"/>
        <w:numPr>
          <w:ilvl w:val="0"/>
          <w:numId w:val="10"/>
        </w:numPr>
        <w:spacing w:line="360" w:lineRule="auto"/>
      </w:pPr>
      <w:r>
        <w:t>Depreciation increased $.6 million or 5%.</w:t>
      </w:r>
    </w:p>
    <w:p w:rsidR="00A831FA" w:rsidRDefault="00A831FA" w:rsidP="00A831FA">
      <w:pPr>
        <w:pStyle w:val="ListParagraph"/>
        <w:numPr>
          <w:ilvl w:val="0"/>
          <w:numId w:val="10"/>
        </w:numPr>
        <w:spacing w:line="360" w:lineRule="auto"/>
      </w:pPr>
      <w:r>
        <w:t>Scholarships decreased $.8 million or 5.4%.</w:t>
      </w:r>
    </w:p>
    <w:p w:rsidR="00A831FA" w:rsidRDefault="00A831FA" w:rsidP="00A831FA">
      <w:pPr>
        <w:pStyle w:val="ListParagraph"/>
        <w:numPr>
          <w:ilvl w:val="0"/>
          <w:numId w:val="10"/>
        </w:numPr>
        <w:spacing w:line="360" w:lineRule="auto"/>
      </w:pPr>
      <w:r>
        <w:t>Other Operating Expenses increased $.3 million or 6.4%.</w:t>
      </w:r>
    </w:p>
    <w:p w:rsidR="00A831FA" w:rsidRDefault="00A831FA" w:rsidP="00A831FA">
      <w:pPr>
        <w:spacing w:line="360" w:lineRule="auto"/>
      </w:pPr>
    </w:p>
    <w:p w:rsidR="00A831FA" w:rsidRDefault="00A831FA" w:rsidP="00A831FA">
      <w:pPr>
        <w:spacing w:line="360" w:lineRule="auto"/>
        <w:jc w:val="center"/>
        <w:rPr>
          <w:b/>
        </w:rPr>
      </w:pPr>
      <w:r w:rsidRPr="007C4FB8">
        <w:rPr>
          <w:b/>
        </w:rPr>
        <w:t>Statement of Cash Flows</w:t>
      </w:r>
    </w:p>
    <w:p w:rsidR="00A831FA" w:rsidRDefault="00A831FA" w:rsidP="00A831FA">
      <w:pPr>
        <w:spacing w:line="360" w:lineRule="auto"/>
      </w:pPr>
      <w:r>
        <w:t>The Statement of Cash Flows (</w:t>
      </w:r>
      <w:r w:rsidR="009A2520">
        <w:t xml:space="preserve">AFR </w:t>
      </w:r>
      <w:r>
        <w:t>V) presents detailed information on the cash activity during the year.  The first section presents operating cash flows and the net cash used by operating activities.  The next section presents the results of non-capital financing activities.  This section includes the cash flows from state appropriations and other non-operating activities.  The capital and related financing activities section includes cash used for acquisition and construction of capital assets.  The investing activities section reports purchases, proceeds, and earnings from investments.  The final section is a reconciliation of net cash from operations to operating income. Changes by category for fiscal year 2016 are as follows:</w:t>
      </w:r>
    </w:p>
    <w:p w:rsidR="00A831FA" w:rsidRPr="00022FC3" w:rsidRDefault="00A831FA" w:rsidP="00A831FA">
      <w:pPr>
        <w:pStyle w:val="ListParagraph"/>
        <w:numPr>
          <w:ilvl w:val="0"/>
          <w:numId w:val="8"/>
        </w:numPr>
        <w:spacing w:line="360" w:lineRule="auto"/>
        <w:rPr>
          <w:u w:val="single"/>
        </w:rPr>
      </w:pPr>
      <w:r w:rsidRPr="00022FC3">
        <w:t xml:space="preserve">Net </w:t>
      </w:r>
      <w:r>
        <w:t xml:space="preserve">Cash Used by Operating Activities </w:t>
      </w:r>
      <w:r w:rsidR="00120B41">
        <w:t>increased $14 million</w:t>
      </w:r>
      <w:r w:rsidR="0041172E">
        <w:t>,</w:t>
      </w:r>
      <w:r w:rsidR="00120B41">
        <w:t xml:space="preserve"> or 36.9%.  </w:t>
      </w:r>
    </w:p>
    <w:p w:rsidR="00A831FA" w:rsidRPr="00022FC3" w:rsidRDefault="00A831FA" w:rsidP="00A831FA">
      <w:pPr>
        <w:pStyle w:val="ListParagraph"/>
        <w:numPr>
          <w:ilvl w:val="0"/>
          <w:numId w:val="8"/>
        </w:numPr>
        <w:spacing w:line="360" w:lineRule="auto"/>
        <w:rPr>
          <w:u w:val="single"/>
        </w:rPr>
      </w:pPr>
      <w:r>
        <w:t xml:space="preserve">Net Cash Provided by Non-Capital Financing Activities increased </w:t>
      </w:r>
      <w:r w:rsidR="00120B41">
        <w:t>$12.7 million</w:t>
      </w:r>
      <w:r w:rsidR="0041172E">
        <w:t>,</w:t>
      </w:r>
      <w:r w:rsidR="00120B41">
        <w:t xml:space="preserve"> or 18.6%.  </w:t>
      </w:r>
    </w:p>
    <w:p w:rsidR="0041172E" w:rsidRDefault="00A831FA" w:rsidP="0041172E">
      <w:pPr>
        <w:pStyle w:val="ListParagraph"/>
        <w:numPr>
          <w:ilvl w:val="0"/>
          <w:numId w:val="8"/>
        </w:numPr>
        <w:spacing w:line="360" w:lineRule="auto"/>
      </w:pPr>
      <w:r>
        <w:t xml:space="preserve">Net Cash Used by Capital-Related Financing Activities increased </w:t>
      </w:r>
      <w:r w:rsidR="0041172E">
        <w:t>$4.2 million, or 19.8%.</w:t>
      </w:r>
    </w:p>
    <w:p w:rsidR="00A831FA" w:rsidRPr="001A294F" w:rsidRDefault="00A831FA" w:rsidP="0041172E">
      <w:pPr>
        <w:pStyle w:val="ListParagraph"/>
        <w:numPr>
          <w:ilvl w:val="0"/>
          <w:numId w:val="8"/>
        </w:numPr>
        <w:spacing w:line="360" w:lineRule="auto"/>
      </w:pPr>
      <w:r>
        <w:t>Net Cash Used by Investing Activities increased</w:t>
      </w:r>
      <w:r w:rsidR="00120B41">
        <w:t xml:space="preserve"> $3.3</w:t>
      </w:r>
      <w:r w:rsidR="0041172E">
        <w:t xml:space="preserve"> </w:t>
      </w:r>
      <w:r w:rsidR="00120B41">
        <w:t>million</w:t>
      </w:r>
      <w:r w:rsidR="0041172E">
        <w:t>,</w:t>
      </w:r>
      <w:r w:rsidR="00120B41">
        <w:t xml:space="preserve"> or 167.8%.  </w:t>
      </w:r>
      <w:r>
        <w:t xml:space="preserve"> </w:t>
      </w:r>
    </w:p>
    <w:sectPr w:rsidR="00A831FA" w:rsidRPr="001A294F" w:rsidSect="0057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C1F"/>
    <w:multiLevelType w:val="hybridMultilevel"/>
    <w:tmpl w:val="46488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B7EAF"/>
    <w:multiLevelType w:val="hybridMultilevel"/>
    <w:tmpl w:val="697E89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479EA"/>
    <w:multiLevelType w:val="hybridMultilevel"/>
    <w:tmpl w:val="BF0A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5099"/>
    <w:multiLevelType w:val="hybridMultilevel"/>
    <w:tmpl w:val="31282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0CC0"/>
    <w:multiLevelType w:val="hybridMultilevel"/>
    <w:tmpl w:val="CD3ADA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CA78DD"/>
    <w:multiLevelType w:val="hybridMultilevel"/>
    <w:tmpl w:val="0E00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B6AB9"/>
    <w:multiLevelType w:val="hybridMultilevel"/>
    <w:tmpl w:val="AD66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55C8"/>
    <w:multiLevelType w:val="hybridMultilevel"/>
    <w:tmpl w:val="8FC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4308"/>
    <w:multiLevelType w:val="hybridMultilevel"/>
    <w:tmpl w:val="79D6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62C72"/>
    <w:multiLevelType w:val="hybridMultilevel"/>
    <w:tmpl w:val="94B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64784"/>
    <w:multiLevelType w:val="hybridMultilevel"/>
    <w:tmpl w:val="8AC88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7D6135"/>
    <w:multiLevelType w:val="hybridMultilevel"/>
    <w:tmpl w:val="E3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273CD"/>
    <w:multiLevelType w:val="hybridMultilevel"/>
    <w:tmpl w:val="E68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C2987"/>
    <w:multiLevelType w:val="hybridMultilevel"/>
    <w:tmpl w:val="8FD0A8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3"/>
  </w:num>
  <w:num w:numId="6">
    <w:abstractNumId w:val="11"/>
  </w:num>
  <w:num w:numId="7">
    <w:abstractNumId w:val="9"/>
  </w:num>
  <w:num w:numId="8">
    <w:abstractNumId w:val="8"/>
  </w:num>
  <w:num w:numId="9">
    <w:abstractNumId w:val="10"/>
  </w:num>
  <w:num w:numId="10">
    <w:abstractNumId w:val="2"/>
  </w:num>
  <w:num w:numId="11">
    <w:abstractNumId w:val="6"/>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42"/>
    <w:rsid w:val="00010C1C"/>
    <w:rsid w:val="00017CDF"/>
    <w:rsid w:val="000201DC"/>
    <w:rsid w:val="00022FC3"/>
    <w:rsid w:val="0003214B"/>
    <w:rsid w:val="0003667A"/>
    <w:rsid w:val="00053F44"/>
    <w:rsid w:val="000549C6"/>
    <w:rsid w:val="00071CE4"/>
    <w:rsid w:val="00085403"/>
    <w:rsid w:val="00087A47"/>
    <w:rsid w:val="00091420"/>
    <w:rsid w:val="000A1ED5"/>
    <w:rsid w:val="000A48DD"/>
    <w:rsid w:val="000A5BDC"/>
    <w:rsid w:val="000A6837"/>
    <w:rsid w:val="000B1566"/>
    <w:rsid w:val="000B4B43"/>
    <w:rsid w:val="000C0C32"/>
    <w:rsid w:val="000D141E"/>
    <w:rsid w:val="000D2B56"/>
    <w:rsid w:val="000D5652"/>
    <w:rsid w:val="000D74D5"/>
    <w:rsid w:val="000E501D"/>
    <w:rsid w:val="000F1E58"/>
    <w:rsid w:val="00106F2C"/>
    <w:rsid w:val="00107B75"/>
    <w:rsid w:val="00120B41"/>
    <w:rsid w:val="001426F8"/>
    <w:rsid w:val="001623A6"/>
    <w:rsid w:val="00181579"/>
    <w:rsid w:val="001A294F"/>
    <w:rsid w:val="001A2CA5"/>
    <w:rsid w:val="001C3B50"/>
    <w:rsid w:val="001C741A"/>
    <w:rsid w:val="001C7EEF"/>
    <w:rsid w:val="001E6A95"/>
    <w:rsid w:val="00202568"/>
    <w:rsid w:val="00207028"/>
    <w:rsid w:val="002327EE"/>
    <w:rsid w:val="00240591"/>
    <w:rsid w:val="00267361"/>
    <w:rsid w:val="0027535A"/>
    <w:rsid w:val="002A57B4"/>
    <w:rsid w:val="002B100A"/>
    <w:rsid w:val="002C001B"/>
    <w:rsid w:val="002C544B"/>
    <w:rsid w:val="002C5711"/>
    <w:rsid w:val="002F7B47"/>
    <w:rsid w:val="003050CE"/>
    <w:rsid w:val="0031155A"/>
    <w:rsid w:val="00312AD9"/>
    <w:rsid w:val="0031371A"/>
    <w:rsid w:val="003221EF"/>
    <w:rsid w:val="00330B5D"/>
    <w:rsid w:val="00353041"/>
    <w:rsid w:val="003575B6"/>
    <w:rsid w:val="0037763C"/>
    <w:rsid w:val="00377A69"/>
    <w:rsid w:val="00382CAD"/>
    <w:rsid w:val="00397016"/>
    <w:rsid w:val="0039772A"/>
    <w:rsid w:val="003A6212"/>
    <w:rsid w:val="003C412C"/>
    <w:rsid w:val="003D47F5"/>
    <w:rsid w:val="003D7855"/>
    <w:rsid w:val="003E0C01"/>
    <w:rsid w:val="003E2AE0"/>
    <w:rsid w:val="003E4B37"/>
    <w:rsid w:val="00402EFD"/>
    <w:rsid w:val="00404C27"/>
    <w:rsid w:val="0041172E"/>
    <w:rsid w:val="00424779"/>
    <w:rsid w:val="00441BB9"/>
    <w:rsid w:val="004624BA"/>
    <w:rsid w:val="00473377"/>
    <w:rsid w:val="00492CFF"/>
    <w:rsid w:val="004A6347"/>
    <w:rsid w:val="004C4AE4"/>
    <w:rsid w:val="004C62E3"/>
    <w:rsid w:val="004F3F95"/>
    <w:rsid w:val="00500FD5"/>
    <w:rsid w:val="00521080"/>
    <w:rsid w:val="00564EDE"/>
    <w:rsid w:val="00572396"/>
    <w:rsid w:val="00576FE5"/>
    <w:rsid w:val="00583F8D"/>
    <w:rsid w:val="005A0D17"/>
    <w:rsid w:val="005A14CD"/>
    <w:rsid w:val="005A5CB4"/>
    <w:rsid w:val="005A5E03"/>
    <w:rsid w:val="005C3433"/>
    <w:rsid w:val="005C4D39"/>
    <w:rsid w:val="005D1DC2"/>
    <w:rsid w:val="005D36DA"/>
    <w:rsid w:val="005F476C"/>
    <w:rsid w:val="005F51A4"/>
    <w:rsid w:val="00603C76"/>
    <w:rsid w:val="00604408"/>
    <w:rsid w:val="00615F4E"/>
    <w:rsid w:val="00636689"/>
    <w:rsid w:val="00642D81"/>
    <w:rsid w:val="00644E5A"/>
    <w:rsid w:val="0066233E"/>
    <w:rsid w:val="00685C46"/>
    <w:rsid w:val="0069047F"/>
    <w:rsid w:val="00694EC0"/>
    <w:rsid w:val="00697A40"/>
    <w:rsid w:val="006C7380"/>
    <w:rsid w:val="006D739E"/>
    <w:rsid w:val="006F5D29"/>
    <w:rsid w:val="006F6AA3"/>
    <w:rsid w:val="00716BA9"/>
    <w:rsid w:val="00740368"/>
    <w:rsid w:val="00763F2D"/>
    <w:rsid w:val="007728FD"/>
    <w:rsid w:val="00780329"/>
    <w:rsid w:val="007875C5"/>
    <w:rsid w:val="007A401D"/>
    <w:rsid w:val="007C4FB8"/>
    <w:rsid w:val="007D599D"/>
    <w:rsid w:val="007E766F"/>
    <w:rsid w:val="007F3C31"/>
    <w:rsid w:val="007F4C93"/>
    <w:rsid w:val="00816C63"/>
    <w:rsid w:val="00817809"/>
    <w:rsid w:val="008238DE"/>
    <w:rsid w:val="0082604B"/>
    <w:rsid w:val="0083434B"/>
    <w:rsid w:val="00846FB8"/>
    <w:rsid w:val="00857424"/>
    <w:rsid w:val="0088627C"/>
    <w:rsid w:val="00887988"/>
    <w:rsid w:val="00894218"/>
    <w:rsid w:val="008A62BD"/>
    <w:rsid w:val="008B0F60"/>
    <w:rsid w:val="008B4EA0"/>
    <w:rsid w:val="008F2E01"/>
    <w:rsid w:val="008F3844"/>
    <w:rsid w:val="00910B1D"/>
    <w:rsid w:val="00942617"/>
    <w:rsid w:val="0094725D"/>
    <w:rsid w:val="00952359"/>
    <w:rsid w:val="00957CC1"/>
    <w:rsid w:val="00975973"/>
    <w:rsid w:val="00977BAE"/>
    <w:rsid w:val="00981366"/>
    <w:rsid w:val="00992825"/>
    <w:rsid w:val="00994669"/>
    <w:rsid w:val="00997FA6"/>
    <w:rsid w:val="009A2520"/>
    <w:rsid w:val="009A4AE5"/>
    <w:rsid w:val="009B10CC"/>
    <w:rsid w:val="009C6730"/>
    <w:rsid w:val="009D137D"/>
    <w:rsid w:val="009E209B"/>
    <w:rsid w:val="009E798F"/>
    <w:rsid w:val="009F442E"/>
    <w:rsid w:val="00A06078"/>
    <w:rsid w:val="00A144CF"/>
    <w:rsid w:val="00A3494D"/>
    <w:rsid w:val="00A425F7"/>
    <w:rsid w:val="00A4539B"/>
    <w:rsid w:val="00A52C69"/>
    <w:rsid w:val="00A67574"/>
    <w:rsid w:val="00A67733"/>
    <w:rsid w:val="00A8159B"/>
    <w:rsid w:val="00A831FA"/>
    <w:rsid w:val="00A92140"/>
    <w:rsid w:val="00AA3516"/>
    <w:rsid w:val="00AA7534"/>
    <w:rsid w:val="00AB7279"/>
    <w:rsid w:val="00AC5229"/>
    <w:rsid w:val="00AD1EE6"/>
    <w:rsid w:val="00AD5557"/>
    <w:rsid w:val="00AF4A31"/>
    <w:rsid w:val="00B008FA"/>
    <w:rsid w:val="00B00F0E"/>
    <w:rsid w:val="00B12D87"/>
    <w:rsid w:val="00B2077E"/>
    <w:rsid w:val="00B338D6"/>
    <w:rsid w:val="00B3622C"/>
    <w:rsid w:val="00B40158"/>
    <w:rsid w:val="00B43C4C"/>
    <w:rsid w:val="00B43F43"/>
    <w:rsid w:val="00B44391"/>
    <w:rsid w:val="00B51F8E"/>
    <w:rsid w:val="00B56363"/>
    <w:rsid w:val="00B64888"/>
    <w:rsid w:val="00B67CD8"/>
    <w:rsid w:val="00B75E49"/>
    <w:rsid w:val="00B81E26"/>
    <w:rsid w:val="00B86BF5"/>
    <w:rsid w:val="00BA2A96"/>
    <w:rsid w:val="00BA6413"/>
    <w:rsid w:val="00BA6C56"/>
    <w:rsid w:val="00BB1427"/>
    <w:rsid w:val="00BB206C"/>
    <w:rsid w:val="00BF1C96"/>
    <w:rsid w:val="00BF533B"/>
    <w:rsid w:val="00BF7731"/>
    <w:rsid w:val="00C05847"/>
    <w:rsid w:val="00C10C51"/>
    <w:rsid w:val="00C12C5A"/>
    <w:rsid w:val="00C21264"/>
    <w:rsid w:val="00C253AE"/>
    <w:rsid w:val="00C31CA0"/>
    <w:rsid w:val="00C353F7"/>
    <w:rsid w:val="00C53042"/>
    <w:rsid w:val="00C54CA8"/>
    <w:rsid w:val="00C742F5"/>
    <w:rsid w:val="00C756E1"/>
    <w:rsid w:val="00C87013"/>
    <w:rsid w:val="00C92D1A"/>
    <w:rsid w:val="00C95384"/>
    <w:rsid w:val="00CA22C5"/>
    <w:rsid w:val="00CB5FE2"/>
    <w:rsid w:val="00CC4C60"/>
    <w:rsid w:val="00CC7E18"/>
    <w:rsid w:val="00CD02F0"/>
    <w:rsid w:val="00CE1D19"/>
    <w:rsid w:val="00CE7D18"/>
    <w:rsid w:val="00CF046A"/>
    <w:rsid w:val="00CF1458"/>
    <w:rsid w:val="00D02309"/>
    <w:rsid w:val="00D02D5F"/>
    <w:rsid w:val="00D06575"/>
    <w:rsid w:val="00D11871"/>
    <w:rsid w:val="00D14296"/>
    <w:rsid w:val="00D14DEC"/>
    <w:rsid w:val="00D23BC4"/>
    <w:rsid w:val="00D255AE"/>
    <w:rsid w:val="00D311DF"/>
    <w:rsid w:val="00D42026"/>
    <w:rsid w:val="00D467F6"/>
    <w:rsid w:val="00D52E44"/>
    <w:rsid w:val="00D653C3"/>
    <w:rsid w:val="00D7079E"/>
    <w:rsid w:val="00DA0E95"/>
    <w:rsid w:val="00DA3BD5"/>
    <w:rsid w:val="00DC76B2"/>
    <w:rsid w:val="00DE4C35"/>
    <w:rsid w:val="00E00CD6"/>
    <w:rsid w:val="00E06047"/>
    <w:rsid w:val="00E1569C"/>
    <w:rsid w:val="00E21AD9"/>
    <w:rsid w:val="00E345BA"/>
    <w:rsid w:val="00E36359"/>
    <w:rsid w:val="00E36D8A"/>
    <w:rsid w:val="00E835C1"/>
    <w:rsid w:val="00E87D05"/>
    <w:rsid w:val="00EB489F"/>
    <w:rsid w:val="00EB752F"/>
    <w:rsid w:val="00EC1204"/>
    <w:rsid w:val="00EC216C"/>
    <w:rsid w:val="00EC2E42"/>
    <w:rsid w:val="00EC35F4"/>
    <w:rsid w:val="00ED3C3D"/>
    <w:rsid w:val="00EE3912"/>
    <w:rsid w:val="00EE5AA6"/>
    <w:rsid w:val="00EE6AC6"/>
    <w:rsid w:val="00F00AB1"/>
    <w:rsid w:val="00F0357C"/>
    <w:rsid w:val="00F0623D"/>
    <w:rsid w:val="00F06ED2"/>
    <w:rsid w:val="00F12FA5"/>
    <w:rsid w:val="00F307CB"/>
    <w:rsid w:val="00F43F03"/>
    <w:rsid w:val="00F46E16"/>
    <w:rsid w:val="00F47E24"/>
    <w:rsid w:val="00F53193"/>
    <w:rsid w:val="00F66E9D"/>
    <w:rsid w:val="00F72B8B"/>
    <w:rsid w:val="00F81F38"/>
    <w:rsid w:val="00FB1839"/>
    <w:rsid w:val="00FC6794"/>
    <w:rsid w:val="00FD795D"/>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67D2"/>
  <w15:docId w15:val="{2F05C666-E66C-4D33-AEEA-79CD1747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2D81"/>
    <w:pPr>
      <w:spacing w:after="0" w:line="240" w:lineRule="auto"/>
    </w:pPr>
    <w:rPr>
      <w:sz w:val="24"/>
      <w:szCs w:val="24"/>
    </w:rPr>
  </w:style>
  <w:style w:type="paragraph" w:styleId="Heading1">
    <w:name w:val="heading 1"/>
    <w:basedOn w:val="Normal"/>
    <w:next w:val="Normal"/>
    <w:link w:val="Heading1Char"/>
    <w:uiPriority w:val="9"/>
    <w:qFormat/>
    <w:rsid w:val="00642D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2D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2D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2D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2D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2D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2D81"/>
    <w:pPr>
      <w:spacing w:before="240" w:after="60"/>
      <w:outlineLvl w:val="6"/>
    </w:pPr>
  </w:style>
  <w:style w:type="paragraph" w:styleId="Heading8">
    <w:name w:val="heading 8"/>
    <w:basedOn w:val="Normal"/>
    <w:next w:val="Normal"/>
    <w:link w:val="Heading8Char"/>
    <w:uiPriority w:val="9"/>
    <w:semiHidden/>
    <w:unhideWhenUsed/>
    <w:qFormat/>
    <w:rsid w:val="00642D81"/>
    <w:pPr>
      <w:spacing w:before="240" w:after="60"/>
      <w:outlineLvl w:val="7"/>
    </w:pPr>
    <w:rPr>
      <w:i/>
      <w:iCs/>
    </w:rPr>
  </w:style>
  <w:style w:type="paragraph" w:styleId="Heading9">
    <w:name w:val="heading 9"/>
    <w:basedOn w:val="Normal"/>
    <w:next w:val="Normal"/>
    <w:link w:val="Heading9Char"/>
    <w:uiPriority w:val="9"/>
    <w:semiHidden/>
    <w:unhideWhenUsed/>
    <w:qFormat/>
    <w:rsid w:val="00642D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D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2D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2D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2D81"/>
    <w:rPr>
      <w:b/>
      <w:bCs/>
      <w:sz w:val="28"/>
      <w:szCs w:val="28"/>
    </w:rPr>
  </w:style>
  <w:style w:type="character" w:customStyle="1" w:styleId="Heading5Char">
    <w:name w:val="Heading 5 Char"/>
    <w:basedOn w:val="DefaultParagraphFont"/>
    <w:link w:val="Heading5"/>
    <w:uiPriority w:val="9"/>
    <w:semiHidden/>
    <w:rsid w:val="00642D81"/>
    <w:rPr>
      <w:b/>
      <w:bCs/>
      <w:i/>
      <w:iCs/>
      <w:sz w:val="26"/>
      <w:szCs w:val="26"/>
    </w:rPr>
  </w:style>
  <w:style w:type="character" w:customStyle="1" w:styleId="Heading6Char">
    <w:name w:val="Heading 6 Char"/>
    <w:basedOn w:val="DefaultParagraphFont"/>
    <w:link w:val="Heading6"/>
    <w:uiPriority w:val="9"/>
    <w:semiHidden/>
    <w:rsid w:val="00642D81"/>
    <w:rPr>
      <w:b/>
      <w:bCs/>
    </w:rPr>
  </w:style>
  <w:style w:type="character" w:customStyle="1" w:styleId="Heading7Char">
    <w:name w:val="Heading 7 Char"/>
    <w:basedOn w:val="DefaultParagraphFont"/>
    <w:link w:val="Heading7"/>
    <w:uiPriority w:val="9"/>
    <w:semiHidden/>
    <w:rsid w:val="00642D81"/>
    <w:rPr>
      <w:sz w:val="24"/>
      <w:szCs w:val="24"/>
    </w:rPr>
  </w:style>
  <w:style w:type="character" w:customStyle="1" w:styleId="Heading8Char">
    <w:name w:val="Heading 8 Char"/>
    <w:basedOn w:val="DefaultParagraphFont"/>
    <w:link w:val="Heading8"/>
    <w:uiPriority w:val="9"/>
    <w:semiHidden/>
    <w:rsid w:val="00642D81"/>
    <w:rPr>
      <w:i/>
      <w:iCs/>
      <w:sz w:val="24"/>
      <w:szCs w:val="24"/>
    </w:rPr>
  </w:style>
  <w:style w:type="character" w:customStyle="1" w:styleId="Heading9Char">
    <w:name w:val="Heading 9 Char"/>
    <w:basedOn w:val="DefaultParagraphFont"/>
    <w:link w:val="Heading9"/>
    <w:uiPriority w:val="9"/>
    <w:semiHidden/>
    <w:rsid w:val="00642D81"/>
    <w:rPr>
      <w:rFonts w:asciiTheme="majorHAnsi" w:eastAsiaTheme="majorEastAsia" w:hAnsiTheme="majorHAnsi"/>
    </w:rPr>
  </w:style>
  <w:style w:type="paragraph" w:styleId="Title">
    <w:name w:val="Title"/>
    <w:basedOn w:val="Normal"/>
    <w:next w:val="Normal"/>
    <w:link w:val="TitleChar"/>
    <w:uiPriority w:val="10"/>
    <w:qFormat/>
    <w:rsid w:val="00642D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2D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2D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2D81"/>
    <w:rPr>
      <w:rFonts w:asciiTheme="majorHAnsi" w:eastAsiaTheme="majorEastAsia" w:hAnsiTheme="majorHAnsi"/>
      <w:sz w:val="24"/>
      <w:szCs w:val="24"/>
    </w:rPr>
  </w:style>
  <w:style w:type="character" w:styleId="Strong">
    <w:name w:val="Strong"/>
    <w:basedOn w:val="DefaultParagraphFont"/>
    <w:uiPriority w:val="22"/>
    <w:qFormat/>
    <w:rsid w:val="00642D81"/>
    <w:rPr>
      <w:b/>
      <w:bCs/>
    </w:rPr>
  </w:style>
  <w:style w:type="character" w:styleId="Emphasis">
    <w:name w:val="Emphasis"/>
    <w:basedOn w:val="DefaultParagraphFont"/>
    <w:uiPriority w:val="20"/>
    <w:qFormat/>
    <w:rsid w:val="00642D81"/>
    <w:rPr>
      <w:rFonts w:asciiTheme="minorHAnsi" w:hAnsiTheme="minorHAnsi"/>
      <w:b/>
      <w:i/>
      <w:iCs/>
    </w:rPr>
  </w:style>
  <w:style w:type="paragraph" w:styleId="NoSpacing">
    <w:name w:val="No Spacing"/>
    <w:basedOn w:val="Normal"/>
    <w:uiPriority w:val="1"/>
    <w:qFormat/>
    <w:rsid w:val="00642D81"/>
    <w:rPr>
      <w:szCs w:val="32"/>
    </w:rPr>
  </w:style>
  <w:style w:type="paragraph" w:styleId="ListParagraph">
    <w:name w:val="List Paragraph"/>
    <w:basedOn w:val="Normal"/>
    <w:uiPriority w:val="34"/>
    <w:qFormat/>
    <w:rsid w:val="00642D81"/>
    <w:pPr>
      <w:ind w:left="720"/>
      <w:contextualSpacing/>
    </w:pPr>
  </w:style>
  <w:style w:type="paragraph" w:styleId="Quote">
    <w:name w:val="Quote"/>
    <w:basedOn w:val="Normal"/>
    <w:next w:val="Normal"/>
    <w:link w:val="QuoteChar"/>
    <w:uiPriority w:val="29"/>
    <w:qFormat/>
    <w:rsid w:val="00642D81"/>
    <w:rPr>
      <w:i/>
    </w:rPr>
  </w:style>
  <w:style w:type="character" w:customStyle="1" w:styleId="QuoteChar">
    <w:name w:val="Quote Char"/>
    <w:basedOn w:val="DefaultParagraphFont"/>
    <w:link w:val="Quote"/>
    <w:uiPriority w:val="29"/>
    <w:rsid w:val="00642D81"/>
    <w:rPr>
      <w:i/>
      <w:sz w:val="24"/>
      <w:szCs w:val="24"/>
    </w:rPr>
  </w:style>
  <w:style w:type="paragraph" w:styleId="IntenseQuote">
    <w:name w:val="Intense Quote"/>
    <w:basedOn w:val="Normal"/>
    <w:next w:val="Normal"/>
    <w:link w:val="IntenseQuoteChar"/>
    <w:uiPriority w:val="30"/>
    <w:qFormat/>
    <w:rsid w:val="00642D81"/>
    <w:pPr>
      <w:ind w:left="720" w:right="720"/>
    </w:pPr>
    <w:rPr>
      <w:b/>
      <w:i/>
      <w:szCs w:val="22"/>
    </w:rPr>
  </w:style>
  <w:style w:type="character" w:customStyle="1" w:styleId="IntenseQuoteChar">
    <w:name w:val="Intense Quote Char"/>
    <w:basedOn w:val="DefaultParagraphFont"/>
    <w:link w:val="IntenseQuote"/>
    <w:uiPriority w:val="30"/>
    <w:rsid w:val="00642D81"/>
    <w:rPr>
      <w:b/>
      <w:i/>
      <w:sz w:val="24"/>
    </w:rPr>
  </w:style>
  <w:style w:type="character" w:styleId="SubtleEmphasis">
    <w:name w:val="Subtle Emphasis"/>
    <w:uiPriority w:val="19"/>
    <w:qFormat/>
    <w:rsid w:val="00642D81"/>
    <w:rPr>
      <w:i/>
      <w:color w:val="5A5A5A" w:themeColor="text1" w:themeTint="A5"/>
    </w:rPr>
  </w:style>
  <w:style w:type="character" w:styleId="IntenseEmphasis">
    <w:name w:val="Intense Emphasis"/>
    <w:basedOn w:val="DefaultParagraphFont"/>
    <w:uiPriority w:val="21"/>
    <w:qFormat/>
    <w:rsid w:val="00642D81"/>
    <w:rPr>
      <w:b/>
      <w:i/>
      <w:sz w:val="24"/>
      <w:szCs w:val="24"/>
      <w:u w:val="single"/>
    </w:rPr>
  </w:style>
  <w:style w:type="character" w:styleId="SubtleReference">
    <w:name w:val="Subtle Reference"/>
    <w:basedOn w:val="DefaultParagraphFont"/>
    <w:uiPriority w:val="31"/>
    <w:qFormat/>
    <w:rsid w:val="00642D81"/>
    <w:rPr>
      <w:sz w:val="24"/>
      <w:szCs w:val="24"/>
      <w:u w:val="single"/>
    </w:rPr>
  </w:style>
  <w:style w:type="character" w:styleId="IntenseReference">
    <w:name w:val="Intense Reference"/>
    <w:basedOn w:val="DefaultParagraphFont"/>
    <w:uiPriority w:val="32"/>
    <w:qFormat/>
    <w:rsid w:val="00642D81"/>
    <w:rPr>
      <w:b/>
      <w:sz w:val="24"/>
      <w:u w:val="single"/>
    </w:rPr>
  </w:style>
  <w:style w:type="character" w:styleId="BookTitle">
    <w:name w:val="Book Title"/>
    <w:basedOn w:val="DefaultParagraphFont"/>
    <w:uiPriority w:val="33"/>
    <w:qFormat/>
    <w:rsid w:val="00642D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D81"/>
    <w:pPr>
      <w:outlineLvl w:val="9"/>
    </w:pPr>
  </w:style>
  <w:style w:type="paragraph" w:styleId="BalloonText">
    <w:name w:val="Balloon Text"/>
    <w:basedOn w:val="Normal"/>
    <w:link w:val="BalloonTextChar"/>
    <w:uiPriority w:val="99"/>
    <w:semiHidden/>
    <w:unhideWhenUsed/>
    <w:rsid w:val="0057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E5"/>
    <w:rPr>
      <w:rFonts w:ascii="Segoe UI" w:hAnsi="Segoe UI" w:cs="Segoe UI"/>
      <w:sz w:val="18"/>
      <w:szCs w:val="18"/>
    </w:rPr>
  </w:style>
  <w:style w:type="character" w:styleId="CommentReference">
    <w:name w:val="annotation reference"/>
    <w:basedOn w:val="DefaultParagraphFont"/>
    <w:uiPriority w:val="99"/>
    <w:semiHidden/>
    <w:unhideWhenUsed/>
    <w:rsid w:val="006C7380"/>
    <w:rPr>
      <w:sz w:val="16"/>
      <w:szCs w:val="16"/>
    </w:rPr>
  </w:style>
  <w:style w:type="paragraph" w:styleId="CommentText">
    <w:name w:val="annotation text"/>
    <w:basedOn w:val="Normal"/>
    <w:link w:val="CommentTextChar"/>
    <w:uiPriority w:val="99"/>
    <w:semiHidden/>
    <w:unhideWhenUsed/>
    <w:rsid w:val="006C7380"/>
    <w:rPr>
      <w:sz w:val="20"/>
      <w:szCs w:val="20"/>
    </w:rPr>
  </w:style>
  <w:style w:type="character" w:customStyle="1" w:styleId="CommentTextChar">
    <w:name w:val="Comment Text Char"/>
    <w:basedOn w:val="DefaultParagraphFont"/>
    <w:link w:val="CommentText"/>
    <w:uiPriority w:val="99"/>
    <w:semiHidden/>
    <w:rsid w:val="006C7380"/>
    <w:rPr>
      <w:sz w:val="20"/>
      <w:szCs w:val="20"/>
    </w:rPr>
  </w:style>
  <w:style w:type="paragraph" w:styleId="CommentSubject">
    <w:name w:val="annotation subject"/>
    <w:basedOn w:val="CommentText"/>
    <w:next w:val="CommentText"/>
    <w:link w:val="CommentSubjectChar"/>
    <w:uiPriority w:val="99"/>
    <w:semiHidden/>
    <w:unhideWhenUsed/>
    <w:rsid w:val="006C7380"/>
    <w:rPr>
      <w:b/>
      <w:bCs/>
    </w:rPr>
  </w:style>
  <w:style w:type="character" w:customStyle="1" w:styleId="CommentSubjectChar">
    <w:name w:val="Comment Subject Char"/>
    <w:basedOn w:val="CommentTextChar"/>
    <w:link w:val="CommentSubject"/>
    <w:uiPriority w:val="99"/>
    <w:semiHidden/>
    <w:rsid w:val="006C7380"/>
    <w:rPr>
      <w:b/>
      <w:bCs/>
      <w:sz w:val="20"/>
      <w:szCs w:val="20"/>
    </w:rPr>
  </w:style>
  <w:style w:type="paragraph" w:styleId="Revision">
    <w:name w:val="Revision"/>
    <w:hidden/>
    <w:uiPriority w:val="99"/>
    <w:semiHidden/>
    <w:rsid w:val="005A5CB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2928">
      <w:bodyDiv w:val="1"/>
      <w:marLeft w:val="0"/>
      <w:marRight w:val="0"/>
      <w:marTop w:val="0"/>
      <w:marBottom w:val="0"/>
      <w:divBdr>
        <w:top w:val="none" w:sz="0" w:space="0" w:color="auto"/>
        <w:left w:val="none" w:sz="0" w:space="0" w:color="auto"/>
        <w:bottom w:val="none" w:sz="0" w:space="0" w:color="auto"/>
        <w:right w:val="none" w:sz="0" w:space="0" w:color="auto"/>
      </w:divBdr>
    </w:div>
    <w:div w:id="1749691984">
      <w:bodyDiv w:val="1"/>
      <w:marLeft w:val="0"/>
      <w:marRight w:val="0"/>
      <w:marTop w:val="0"/>
      <w:marBottom w:val="0"/>
      <w:divBdr>
        <w:top w:val="none" w:sz="0" w:space="0" w:color="auto"/>
        <w:left w:val="none" w:sz="0" w:space="0" w:color="auto"/>
        <w:bottom w:val="none" w:sz="0" w:space="0" w:color="auto"/>
        <w:right w:val="none" w:sz="0" w:space="0" w:color="auto"/>
      </w:divBdr>
    </w:div>
    <w:div w:id="18959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41F3-F9BB-40E4-A4C0-44C71FBE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dc:creator>
  <cp:lastModifiedBy>Tye Minckler</cp:lastModifiedBy>
  <cp:revision>2</cp:revision>
  <cp:lastPrinted>2017-01-15T14:37:00Z</cp:lastPrinted>
  <dcterms:created xsi:type="dcterms:W3CDTF">2017-02-05T19:12:00Z</dcterms:created>
  <dcterms:modified xsi:type="dcterms:W3CDTF">2017-02-05T19:12:00Z</dcterms:modified>
</cp:coreProperties>
</file>